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A7EAB" w:rsidRDefault="00EA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EA7EAB" w14:paraId="1C5C3352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21AAE0"/>
            <w:tcMar>
              <w:top w:w="280" w:type="dxa"/>
              <w:left w:w="360" w:type="dxa"/>
              <w:bottom w:w="280" w:type="dxa"/>
              <w:right w:w="360" w:type="dxa"/>
            </w:tcMar>
          </w:tcPr>
          <w:p w14:paraId="00000002" w14:textId="77777777" w:rsidR="00EA7EAB" w:rsidRDefault="002E4A9F">
            <w:pPr>
              <w:spacing w:after="60"/>
              <w:rPr>
                <w:b/>
                <w:bCs/>
                <w:color w:val="185FA5"/>
                <w:sz w:val="28"/>
                <w:szCs w:val="28"/>
              </w:rPr>
            </w:pPr>
            <w:r>
              <w:rPr>
                <w:b/>
                <w:bCs/>
                <w:color w:val="185FA5"/>
                <w:sz w:val="28"/>
                <w:szCs w:val="28"/>
              </w:rPr>
              <w:t>PROGETTO SEI · Sostegno all'Export dell'Italia</w:t>
            </w:r>
          </w:p>
          <w:p w14:paraId="00000003" w14:textId="77777777" w:rsidR="00EA7EAB" w:rsidRDefault="002E4A9F">
            <w:sdt>
              <w:sdtPr>
                <w:tag w:val="goog_rdk_0"/>
                <w:id w:val="-690565209"/>
              </w:sdtPr>
              <w:sdtEndPr/>
              <w:sdtContent/>
            </w:sdt>
            <w:sdt>
              <w:sdtPr>
                <w:tag w:val="goog_rdk_1"/>
                <w:id w:val="-1805839186"/>
              </w:sdtPr>
              <w:sdtEndPr/>
              <w:sdtContent/>
            </w:sdt>
            <w:r>
              <w:rPr>
                <w:b/>
                <w:bCs/>
                <w:color w:val="FFFFFF"/>
                <w:sz w:val="36"/>
                <w:szCs w:val="36"/>
              </w:rPr>
              <w:t>Formazione per le imprese 2026</w:t>
            </w:r>
          </w:p>
        </w:tc>
      </w:tr>
    </w:tbl>
    <w:p w14:paraId="00000004" w14:textId="77777777" w:rsidR="00EA7EAB" w:rsidRDefault="00EA7EAB">
      <w:pPr>
        <w:spacing w:after="200"/>
        <w:rPr>
          <w:sz w:val="20"/>
          <w:szCs w:val="20"/>
        </w:rPr>
      </w:pPr>
    </w:p>
    <w:p w14:paraId="00000005" w14:textId="77777777" w:rsidR="00EA7EAB" w:rsidRDefault="002E4A9F">
      <w:pPr>
        <w:spacing w:after="200"/>
      </w:pPr>
      <w:r>
        <w:rPr>
          <w:sz w:val="20"/>
          <w:szCs w:val="20"/>
        </w:rPr>
        <w:t xml:space="preserve">L'offerta formativa si articola in </w:t>
      </w:r>
      <w:r>
        <w:rPr>
          <w:b/>
          <w:bCs/>
          <w:sz w:val="20"/>
          <w:szCs w:val="20"/>
          <w:u w:val="single"/>
        </w:rPr>
        <w:t>quattro percorsi distinti e complementari,</w:t>
      </w:r>
      <w:r>
        <w:rPr>
          <w:sz w:val="20"/>
          <w:szCs w:val="20"/>
        </w:rPr>
        <w:t xml:space="preserve"> differenziati in base al livello di maturità delle imprese e progettati per accompagnarle nei processi di internazionalizzazione. I percorsi seguono una logica progressiva, accompagnando le imprese dall'orientamento iniziale fino alla definizione e all'applicazione di strategie di sviluppo internazionale sempre più strutturate ed efficaci.</w:t>
      </w:r>
    </w:p>
    <w:p w14:paraId="00000006" w14:textId="77777777" w:rsidR="00EA7EAB" w:rsidRDefault="00EA7EAB">
      <w:pPr>
        <w:spacing w:before="100"/>
      </w:pPr>
    </w:p>
    <w:tbl>
      <w:tblPr>
        <w:tblStyle w:val="a0"/>
        <w:tblpPr w:leftFromText="180" w:rightFromText="180" w:topFromText="180" w:bottomFromText="180" w:vertAnchor="text" w:tblpX="21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2"/>
        <w:gridCol w:w="8436"/>
      </w:tblGrid>
      <w:tr w:rsidR="00EA7EAB" w14:paraId="1829895D" w14:textId="77777777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0F6E56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00000007" w14:textId="77777777" w:rsidR="00EA7EAB" w:rsidRDefault="002E4A9F">
            <w:pPr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t>1</w:t>
            </w:r>
          </w:p>
          <w:p w14:paraId="00000008" w14:textId="77777777" w:rsidR="00EA7EAB" w:rsidRDefault="002E4A9F">
            <w:pPr>
              <w:jc w:val="center"/>
            </w:pPr>
            <w:r>
              <w:rPr>
                <w:color w:val="C8E8E0"/>
                <w:sz w:val="14"/>
                <w:szCs w:val="14"/>
              </w:rPr>
              <w:t>PERCORSO</w:t>
            </w: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shd w:val="clear" w:color="auto" w:fill="E1F5EE"/>
            <w:tcMar>
              <w:top w:w="160" w:type="dxa"/>
              <w:left w:w="280" w:type="dxa"/>
              <w:bottom w:w="160" w:type="dxa"/>
              <w:right w:w="280" w:type="dxa"/>
            </w:tcMar>
          </w:tcPr>
          <w:p w14:paraId="00000009" w14:textId="77777777" w:rsidR="00EA7EAB" w:rsidRDefault="002E4A9F">
            <w:pPr>
              <w:spacing w:after="40"/>
              <w:rPr>
                <w:b/>
                <w:bCs/>
              </w:rPr>
            </w:pPr>
            <w:r>
              <w:rPr>
                <w:b/>
                <w:bCs/>
                <w:color w:val="085041"/>
                <w:sz w:val="16"/>
                <w:szCs w:val="16"/>
              </w:rPr>
              <w:t>Orientamento</w:t>
            </w:r>
          </w:p>
          <w:p w14:paraId="0000000A" w14:textId="77777777" w:rsidR="00EA7EAB" w:rsidRDefault="002E4A9F">
            <w:pPr>
              <w:spacing w:after="60"/>
            </w:pPr>
            <w:r>
              <w:rPr>
                <w:b/>
                <w:bCs/>
                <w:color w:val="085041"/>
                <w:sz w:val="28"/>
                <w:szCs w:val="28"/>
              </w:rPr>
              <w:t>Export Starter</w:t>
            </w:r>
          </w:p>
        </w:tc>
      </w:tr>
    </w:tbl>
    <w:p w14:paraId="0000000B" w14:textId="77777777" w:rsidR="00EA7EAB" w:rsidRDefault="002E4A9F">
      <w:pPr>
        <w:spacing w:after="160"/>
        <w:jc w:val="both"/>
        <w:rPr>
          <w:b/>
          <w:bCs/>
        </w:rPr>
      </w:pPr>
      <w:r>
        <w:rPr>
          <w:sz w:val="20"/>
          <w:szCs w:val="20"/>
        </w:rPr>
        <w:t xml:space="preserve">Il percorso è pensato per accompagnare le imprese che si avvicinano ai mercati esteri o che stanno valutando di avviare un primo percorso di export, offrendo strumenti utili a comprendere opportunità, criticità e aspetti da considerare prima di operare a livello internazionale. Si articola in due momenti complementari: </w:t>
      </w:r>
      <w:r>
        <w:rPr>
          <w:b/>
          <w:bCs/>
          <w:sz w:val="20"/>
          <w:szCs w:val="20"/>
        </w:rPr>
        <w:t>un webinar live introduttivo e un percorso asincrono on demand (Export Kit).</w:t>
      </w:r>
    </w:p>
    <w:p w14:paraId="0000000C" w14:textId="77777777" w:rsidR="00EA7EAB" w:rsidRDefault="002E4A9F">
      <w:pPr>
        <w:spacing w:before="200" w:after="80"/>
        <w:rPr>
          <w:sz w:val="26"/>
          <w:szCs w:val="26"/>
        </w:rPr>
      </w:pPr>
      <w:r>
        <w:rPr>
          <w:b/>
          <w:bCs/>
          <w:color w:val="0F6E56"/>
          <w:sz w:val="21"/>
          <w:szCs w:val="21"/>
        </w:rPr>
        <w:t xml:space="preserve">A) </w:t>
      </w:r>
      <w:sdt>
        <w:sdtPr>
          <w:tag w:val="goog_rdk_2"/>
          <w:id w:val="842747020"/>
        </w:sdtPr>
        <w:sdtEndPr/>
        <w:sdtContent/>
      </w:sdt>
      <w:sdt>
        <w:sdtPr>
          <w:tag w:val="goog_rdk_3"/>
          <w:id w:val="1535621828"/>
        </w:sdtPr>
        <w:sdtEndPr/>
        <w:sdtContent/>
      </w:sdt>
      <w:r>
        <w:rPr>
          <w:b/>
          <w:bCs/>
          <w:color w:val="0F6E56"/>
          <w:sz w:val="21"/>
          <w:szCs w:val="21"/>
        </w:rPr>
        <w:t xml:space="preserve">WEBINAR LIVE </w:t>
      </w:r>
      <w:r>
        <w:rPr>
          <w:b/>
          <w:bCs/>
          <w:color w:val="0F6E56"/>
          <w:sz w:val="21"/>
          <w:szCs w:val="21"/>
        </w:rPr>
        <w:t>– «ORIENTARSI E PREPARARSI AI MERCATI ESTERI»</w:t>
      </w:r>
    </w:p>
    <w:p w14:paraId="0000000D" w14:textId="77777777" w:rsidR="00EA7EAB" w:rsidRDefault="002E4A9F">
      <w:pPr>
        <w:spacing w:after="1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26 giugno 2026 (9.30-12.30)</w:t>
      </w:r>
    </w:p>
    <w:p w14:paraId="0000000E" w14:textId="77777777" w:rsidR="00EA7EAB" w:rsidRDefault="002E4A9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Il webinar supporta le imprese nei primi passi sui mercati internazionali con maggiore consapevolezza, contribuendo a ridurre gli errori più frequenti e fornendo una prima guida sui principali aspetti commerciali e organizzativi da presidiare nella fase iniziale. Ha un taglio trasversale e operativo e offre una lettura chiara e concreta delle opportunità dei mercati esteri.</w:t>
      </w:r>
    </w:p>
    <w:p w14:paraId="0000000F" w14:textId="77777777" w:rsidR="00EA7EAB" w:rsidRDefault="002E4A9F">
      <w:pPr>
        <w:spacing w:after="120"/>
        <w:jc w:val="both"/>
      </w:pPr>
      <w:r>
        <w:t>Contenuti:</w:t>
      </w:r>
    </w:p>
    <w:p w14:paraId="00000010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Come sta cambiando il contesto internazionale e cosa significa per le PMI italiane </w:t>
      </w:r>
    </w:p>
    <w:p w14:paraId="00000011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Perché guardare ai mercati esteri: opportunità e leve di crescita, con esempi concreti </w:t>
      </w:r>
    </w:p>
    <w:p w14:paraId="00000012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Come capire se l'impresa è pronta: strumenti di AI per la valutazione iniziale </w:t>
      </w:r>
    </w:p>
    <w:p w14:paraId="00000013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Cosa valutare prima di esportare: prodotto, risorse e organizzazione </w:t>
      </w:r>
    </w:p>
    <w:p w14:paraId="00000014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Come individuare i primi mercati e le opportunità commerciali </w:t>
      </w:r>
    </w:p>
    <w:p w14:paraId="00000015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Strumenti digitali per promuoversi, cercare clienti e sviluppare contatti all'estero </w:t>
      </w:r>
    </w:p>
    <w:p w14:paraId="00000016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 xml:space="preserve">Prime modalità di approccio a clienti e partner internazionali </w:t>
      </w:r>
    </w:p>
    <w:p w14:paraId="00000017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sdt>
        <w:sdtPr>
          <w:tag w:val="goog_rdk_4"/>
          <w:id w:val="-1461999539"/>
        </w:sdtPr>
        <w:sdtEndPr/>
        <w:sdtContent/>
      </w:sdt>
      <w:sdt>
        <w:sdtPr>
          <w:tag w:val="goog_rdk_5"/>
          <w:id w:val="1387373394"/>
        </w:sdtPr>
        <w:sdtEndPr/>
        <w:sdtContent/>
      </w:sdt>
      <w:r>
        <w:rPr>
          <w:sz w:val="20"/>
          <w:szCs w:val="20"/>
        </w:rPr>
        <w:t xml:space="preserve">Casi di successo: PMI italiane che hanno sviluppato un export vincente </w:t>
      </w:r>
    </w:p>
    <w:p w14:paraId="00000018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Errori più frequenti nelle prime esperienze sui mercati esteri e come evitarli</w:t>
      </w:r>
    </w:p>
    <w:p w14:paraId="00000019" w14:textId="77777777" w:rsidR="00EA7EAB" w:rsidRDefault="00EA7EAB">
      <w:p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  <w:u w:val="single"/>
        </w:rPr>
      </w:pPr>
    </w:p>
    <w:p w14:paraId="0000001A" w14:textId="77777777" w:rsidR="00EA7EAB" w:rsidRDefault="002E4A9F">
      <w:p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Docente: Doris Zaccaria (esperto NIBI in strategia e marketing internazionale)</w:t>
      </w:r>
    </w:p>
    <w:p w14:paraId="0000001B" w14:textId="77777777" w:rsidR="00EA7EAB" w:rsidRDefault="002E4A9F">
      <w:pPr>
        <w:spacing w:after="16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</w:t>
      </w:r>
    </w:p>
    <w:p w14:paraId="0000001C" w14:textId="77777777" w:rsidR="00EA7EAB" w:rsidRDefault="002E4A9F">
      <w:pPr>
        <w:spacing w:before="200" w:after="80"/>
        <w:rPr>
          <w:sz w:val="26"/>
          <w:szCs w:val="26"/>
        </w:rPr>
      </w:pPr>
      <w:r>
        <w:rPr>
          <w:b/>
          <w:bCs/>
          <w:color w:val="0F6E56"/>
          <w:sz w:val="21"/>
          <w:szCs w:val="21"/>
        </w:rPr>
        <w:t>B) EXPORT KIT – FORMAZIONE ON DEMAND IN PILLOLE</w:t>
      </w:r>
    </w:p>
    <w:p w14:paraId="0000001D" w14:textId="77777777" w:rsidR="00EA7EAB" w:rsidRDefault="002E4A9F">
      <w:pPr>
        <w:spacing w:after="120"/>
      </w:pPr>
      <w:r>
        <w:rPr>
          <w:sz w:val="20"/>
          <w:szCs w:val="20"/>
        </w:rPr>
        <w:t xml:space="preserve">A completamento del percorso, le imprese potranno accedere all'Export Kit, composto da 10 </w:t>
      </w:r>
      <w:proofErr w:type="spellStart"/>
      <w:r>
        <w:rPr>
          <w:sz w:val="20"/>
          <w:szCs w:val="20"/>
        </w:rPr>
        <w:t>videopillole</w:t>
      </w:r>
      <w:proofErr w:type="spellEnd"/>
      <w:r>
        <w:rPr>
          <w:sz w:val="20"/>
          <w:szCs w:val="20"/>
        </w:rPr>
        <w:t xml:space="preserve"> fruibili online in modalità asincrona, disponibili 24 ore su 24, della durata di circa 15 minuti ciascuna. Le pillole sono progettate per offrire contenuti essenziali e strumenti operativi sui principali temi dell'internazionalizzazione.</w:t>
      </w:r>
    </w:p>
    <w:tbl>
      <w:tblPr>
        <w:tblStyle w:val="a1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19"/>
      </w:tblGrid>
      <w:tr w:rsidR="00EA7EAB" w14:paraId="1E4F1D99" w14:textId="77777777"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1E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I principi del marketing internazionale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1F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 xml:space="preserve">Il </w:t>
            </w:r>
            <w:proofErr w:type="spellStart"/>
            <w:r>
              <w:rPr>
                <w:color w:val="085041"/>
                <w:sz w:val="18"/>
                <w:szCs w:val="18"/>
              </w:rPr>
              <w:t>digital</w:t>
            </w:r>
            <w:proofErr w:type="spellEnd"/>
            <w:r>
              <w:rPr>
                <w:color w:val="085041"/>
                <w:sz w:val="18"/>
                <w:szCs w:val="18"/>
              </w:rPr>
              <w:t xml:space="preserve"> export</w:t>
            </w:r>
          </w:p>
        </w:tc>
      </w:tr>
      <w:tr w:rsidR="00EA7EAB" w14:paraId="5C2F3D63" w14:textId="77777777"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0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I principi dei contratti internazionali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1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I principali contratti della distribuzione commerciale</w:t>
            </w:r>
          </w:p>
        </w:tc>
      </w:tr>
      <w:tr w:rsidR="00EA7EAB" w14:paraId="1B52F1C2" w14:textId="77777777"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2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lastRenderedPageBreak/>
              <w:t>Le operazioni doganali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3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La logistica nelle operazioni di export</w:t>
            </w:r>
          </w:p>
        </w:tc>
      </w:tr>
      <w:tr w:rsidR="00EA7EAB" w14:paraId="58115D71" w14:textId="77777777"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4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I pagamenti internazionali e gli strumenti finanziari per l'internazionalizzazione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5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Strumenti di pagamento internazionale e operazioni documentarie</w:t>
            </w:r>
          </w:p>
        </w:tc>
      </w:tr>
      <w:tr w:rsidR="00EA7EAB" w14:paraId="2D3A9A35" w14:textId="77777777"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6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Aspetti fiscali del commercio con l'estero</w:t>
            </w:r>
          </w:p>
        </w:tc>
        <w:tc>
          <w:tcPr>
            <w:tcW w:w="4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1F5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00027" w14:textId="77777777" w:rsidR="00EA7EAB" w:rsidRDefault="002E4A9F">
            <w:pPr>
              <w:rPr>
                <w:sz w:val="18"/>
                <w:szCs w:val="18"/>
              </w:rPr>
            </w:pPr>
            <w:r>
              <w:rPr>
                <w:color w:val="085041"/>
                <w:sz w:val="18"/>
                <w:szCs w:val="18"/>
              </w:rPr>
              <w:t>Export sostenibile: aspetti da considerare</w:t>
            </w:r>
          </w:p>
        </w:tc>
      </w:tr>
    </w:tbl>
    <w:p w14:paraId="00000028" w14:textId="77777777" w:rsidR="00EA7EAB" w:rsidRDefault="00EA7EAB">
      <w:pPr>
        <w:spacing w:before="400"/>
      </w:pPr>
    </w:p>
    <w:tbl>
      <w:tblPr>
        <w:tblStyle w:val="a2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2"/>
        <w:gridCol w:w="8436"/>
      </w:tblGrid>
      <w:tr w:rsidR="00EA7EAB" w14:paraId="3C3ABB25" w14:textId="77777777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185FA5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00000029" w14:textId="77777777" w:rsidR="00EA7EAB" w:rsidRDefault="002E4A9F">
            <w:pPr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t>2</w:t>
            </w:r>
          </w:p>
          <w:p w14:paraId="0000002A" w14:textId="77777777" w:rsidR="00EA7EAB" w:rsidRDefault="002E4A9F">
            <w:pPr>
              <w:jc w:val="center"/>
            </w:pPr>
            <w:r>
              <w:rPr>
                <w:color w:val="C8E8E0"/>
                <w:sz w:val="14"/>
                <w:szCs w:val="14"/>
              </w:rPr>
              <w:t>PERCORSO</w:t>
            </w: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shd w:val="clear" w:color="auto" w:fill="E6F1FB"/>
            <w:tcMar>
              <w:top w:w="160" w:type="dxa"/>
              <w:left w:w="280" w:type="dxa"/>
              <w:bottom w:w="160" w:type="dxa"/>
              <w:right w:w="280" w:type="dxa"/>
            </w:tcMar>
          </w:tcPr>
          <w:p w14:paraId="0000002B" w14:textId="77777777" w:rsidR="00EA7EAB" w:rsidRDefault="002E4A9F">
            <w:pPr>
              <w:spacing w:after="40"/>
              <w:rPr>
                <w:b/>
                <w:bCs/>
              </w:rPr>
            </w:pPr>
            <w:r>
              <w:rPr>
                <w:b/>
                <w:bCs/>
                <w:color w:val="0C447C"/>
                <w:sz w:val="16"/>
                <w:szCs w:val="16"/>
              </w:rPr>
              <w:t>Sviluppo strategico</w:t>
            </w:r>
          </w:p>
          <w:p w14:paraId="0000002C" w14:textId="77777777" w:rsidR="00EA7EAB" w:rsidRDefault="002E4A9F">
            <w:pPr>
              <w:spacing w:after="60"/>
            </w:pPr>
            <w:r>
              <w:rPr>
                <w:b/>
                <w:bCs/>
                <w:color w:val="0C447C"/>
                <w:sz w:val="28"/>
                <w:szCs w:val="28"/>
              </w:rPr>
              <w:t>Market Builder &amp; Global Strategy</w:t>
            </w:r>
          </w:p>
          <w:p w14:paraId="0000002D" w14:textId="77777777" w:rsidR="00EA7EAB" w:rsidRDefault="002E4A9F">
            <w:r>
              <w:rPr>
                <w:i/>
                <w:iCs/>
                <w:color w:val="0C447C"/>
                <w:sz w:val="19"/>
                <w:szCs w:val="19"/>
              </w:rPr>
              <w:t xml:space="preserve"> 8 ore live · 4 webinar da 2 ore</w:t>
            </w:r>
          </w:p>
        </w:tc>
      </w:tr>
    </w:tbl>
    <w:p w14:paraId="0000002E" w14:textId="77777777" w:rsidR="00EA7EAB" w:rsidRDefault="00EA7EAB">
      <w:pPr>
        <w:spacing w:after="160"/>
        <w:jc w:val="both"/>
        <w:rPr>
          <w:sz w:val="20"/>
          <w:szCs w:val="20"/>
        </w:rPr>
      </w:pPr>
    </w:p>
    <w:p w14:paraId="0000002F" w14:textId="77777777" w:rsidR="00EA7EAB" w:rsidRDefault="002E4A9F">
      <w:pPr>
        <w:spacing w:after="160"/>
        <w:jc w:val="both"/>
      </w:pPr>
      <w:r>
        <w:rPr>
          <w:sz w:val="20"/>
          <w:szCs w:val="20"/>
        </w:rPr>
        <w:t>Il percorso è rivolto alle imprese con esperienza sui mercati esteri che intendono rafforzare e sviluppare in modo strutturato la propria presenza internazionale nel medio-lungo periodo. Attraverso un approccio strategico e operativo, supporta il miglioramento della marginalità e dello sviluppo internazionale, lavorando su leve chiave quali la selezione dei mercati, il posizionamento competitivo, le strategie di pricing e lo sviluppo dei canali commerciali.</w:t>
      </w:r>
    </w:p>
    <w:p w14:paraId="00000030" w14:textId="77777777" w:rsidR="00EA7EAB" w:rsidRDefault="002E4A9F">
      <w:pPr>
        <w:spacing w:before="200" w:after="80"/>
        <w:rPr>
          <w:sz w:val="24"/>
          <w:szCs w:val="24"/>
        </w:rPr>
      </w:pPr>
      <w:r>
        <w:rPr>
          <w:b/>
          <w:bCs/>
          <w:color w:val="185FA5"/>
          <w:sz w:val="19"/>
          <w:szCs w:val="19"/>
        </w:rPr>
        <w:t>CALENDARIO WEBINAR</w:t>
      </w:r>
    </w:p>
    <w:tbl>
      <w:tblPr>
        <w:tblStyle w:val="a3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8738"/>
      </w:tblGrid>
      <w:tr w:rsidR="00EA7EAB" w14:paraId="342A56C1" w14:textId="77777777">
        <w:tc>
          <w:tcPr>
            <w:tcW w:w="900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E6F1FB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00000031" w14:textId="77777777" w:rsidR="00EA7EAB" w:rsidRDefault="002E4A9F">
            <w:pPr>
              <w:jc w:val="center"/>
            </w:pPr>
            <w:r>
              <w:rPr>
                <w:b/>
                <w:bCs/>
                <w:color w:val="0C447C"/>
                <w:sz w:val="18"/>
                <w:szCs w:val="18"/>
              </w:rPr>
              <w:t>N. 1</w:t>
            </w:r>
          </w:p>
        </w:tc>
        <w:tc>
          <w:tcPr>
            <w:tcW w:w="8738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FFFFFF"/>
            <w:tcMar>
              <w:top w:w="160" w:type="dxa"/>
              <w:left w:w="200" w:type="dxa"/>
              <w:bottom w:w="160" w:type="dxa"/>
              <w:right w:w="80" w:type="dxa"/>
            </w:tcMar>
          </w:tcPr>
          <w:p w14:paraId="00000032" w14:textId="77777777" w:rsidR="00EA7EAB" w:rsidRDefault="002E4A9F">
            <w:pPr>
              <w:spacing w:after="6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Selezione e prioritizzazione dei mercati internazionali</w:t>
            </w:r>
          </w:p>
          <w:p w14:paraId="00000033" w14:textId="77777777" w:rsidR="00EA7EAB" w:rsidRDefault="002E4A9F">
            <w:pPr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 luglio 2026 (14.30–16.30)</w:t>
            </w:r>
          </w:p>
          <w:p w14:paraId="00000034" w14:textId="77777777" w:rsidR="00EA7EAB" w:rsidRDefault="002E4A9F">
            <w:pPr>
              <w:spacing w:after="60"/>
            </w:pPr>
            <w:r>
              <w:rPr>
                <w:sz w:val="18"/>
                <w:szCs w:val="18"/>
              </w:rPr>
              <w:t>Programma:</w:t>
            </w:r>
          </w:p>
          <w:p w14:paraId="00000035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Analisi del portafoglio mercati</w:t>
            </w:r>
          </w:p>
          <w:p w14:paraId="00000036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Criteri di selezione: attrattività, accessibilità, competitività</w:t>
            </w:r>
          </w:p>
          <w:p w14:paraId="00000037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Identificazione dei mercati prioritari</w:t>
            </w:r>
          </w:p>
          <w:p w14:paraId="00000038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</w:pPr>
            <w:r>
              <w:rPr>
                <w:sz w:val="18"/>
                <w:szCs w:val="18"/>
              </w:rPr>
              <w:t>Strategie di ingresso nei mercati ester</w:t>
            </w:r>
            <w:r>
              <w:rPr>
                <w:color w:val="444444"/>
                <w:sz w:val="18"/>
                <w:szCs w:val="18"/>
              </w:rPr>
              <w:t>i</w:t>
            </w:r>
          </w:p>
          <w:p w14:paraId="00000039" w14:textId="77777777" w:rsidR="00EA7EAB" w:rsidRDefault="00EA7EAB">
            <w:pPr>
              <w:spacing w:before="40" w:after="40"/>
              <w:rPr>
                <w:sz w:val="20"/>
                <w:szCs w:val="20"/>
                <w:u w:val="single"/>
              </w:rPr>
            </w:pPr>
          </w:p>
          <w:p w14:paraId="0000003A" w14:textId="77777777" w:rsidR="00EA7EAB" w:rsidRDefault="002E4A9F">
            <w:pPr>
              <w:spacing w:before="40" w:after="40"/>
              <w:rPr>
                <w:color w:val="444444"/>
                <w:sz w:val="18"/>
                <w:szCs w:val="18"/>
              </w:rPr>
            </w:pPr>
            <w:r>
              <w:rPr>
                <w:sz w:val="20"/>
                <w:szCs w:val="20"/>
                <w:u w:val="single"/>
              </w:rPr>
              <w:t>Docente: Raffaella Condina (esperto NIBI in marketing e strategia)</w:t>
            </w:r>
          </w:p>
        </w:tc>
      </w:tr>
    </w:tbl>
    <w:p w14:paraId="0000003B" w14:textId="77777777" w:rsidR="00EA7EAB" w:rsidRDefault="00EA7EAB">
      <w:pPr>
        <w:spacing w:before="40"/>
      </w:pPr>
    </w:p>
    <w:tbl>
      <w:tblPr>
        <w:tblStyle w:val="a4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8738"/>
      </w:tblGrid>
      <w:tr w:rsidR="00EA7EAB" w14:paraId="574EFB8F" w14:textId="77777777">
        <w:trPr>
          <w:trHeight w:val="2920"/>
        </w:trPr>
        <w:tc>
          <w:tcPr>
            <w:tcW w:w="900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E6F1FB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0000003C" w14:textId="77777777" w:rsidR="00EA7EAB" w:rsidRDefault="002E4A9F">
            <w:pPr>
              <w:jc w:val="center"/>
            </w:pPr>
            <w:r>
              <w:rPr>
                <w:b/>
                <w:bCs/>
                <w:color w:val="0C447C"/>
                <w:sz w:val="18"/>
                <w:szCs w:val="18"/>
              </w:rPr>
              <w:t>N. 2</w:t>
            </w:r>
          </w:p>
        </w:tc>
        <w:tc>
          <w:tcPr>
            <w:tcW w:w="8738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FFFFFF"/>
            <w:tcMar>
              <w:top w:w="160" w:type="dxa"/>
              <w:left w:w="200" w:type="dxa"/>
              <w:bottom w:w="160" w:type="dxa"/>
              <w:right w:w="80" w:type="dxa"/>
            </w:tcMar>
          </w:tcPr>
          <w:p w14:paraId="0000003D" w14:textId="77777777" w:rsidR="00EA7EAB" w:rsidRDefault="002E4A9F"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>Posizionamento competitivo e strategie di marketing e pricing</w:t>
            </w:r>
          </w:p>
          <w:p w14:paraId="0000003E" w14:textId="77777777" w:rsidR="00EA7EAB" w:rsidRDefault="002E4A9F">
            <w:pPr>
              <w:spacing w:after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 luglio 2026 (14.30–16.30)</w:t>
            </w:r>
          </w:p>
          <w:p w14:paraId="0000003F" w14:textId="77777777" w:rsidR="00EA7EAB" w:rsidRDefault="002E4A9F">
            <w:pPr>
              <w:spacing w:after="100"/>
            </w:pPr>
            <w:r>
              <w:rPr>
                <w:sz w:val="18"/>
                <w:szCs w:val="18"/>
              </w:rPr>
              <w:t>Programma:</w:t>
            </w:r>
          </w:p>
          <w:p w14:paraId="00000040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Posizionamento nei mercati internazionali</w:t>
            </w:r>
          </w:p>
          <w:p w14:paraId="00000041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Analisi di clienti e competitor</w:t>
            </w:r>
          </w:p>
          <w:p w14:paraId="00000042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Valore percepito e differenziazione</w:t>
            </w:r>
          </w:p>
          <w:p w14:paraId="00000043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Strategie di pricing</w:t>
            </w:r>
          </w:p>
          <w:p w14:paraId="00000044" w14:textId="77777777" w:rsidR="00EA7EAB" w:rsidRDefault="00EA7EAB">
            <w:pPr>
              <w:spacing w:before="40" w:after="40"/>
              <w:rPr>
                <w:sz w:val="20"/>
                <w:szCs w:val="20"/>
                <w:u w:val="single"/>
              </w:rPr>
            </w:pPr>
          </w:p>
          <w:p w14:paraId="00000045" w14:textId="77777777" w:rsidR="00EA7EAB" w:rsidRDefault="002E4A9F">
            <w:pPr>
              <w:spacing w:before="40" w:after="40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Docente: Raffaella Condina (esperto NIBI in marketing e strategia)</w:t>
            </w:r>
          </w:p>
          <w:p w14:paraId="00000046" w14:textId="77777777" w:rsidR="00EA7EAB" w:rsidRDefault="00EA7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sz w:val="18"/>
                <w:szCs w:val="18"/>
              </w:rPr>
            </w:pPr>
          </w:p>
        </w:tc>
      </w:tr>
    </w:tbl>
    <w:p w14:paraId="00000047" w14:textId="77777777" w:rsidR="00EA7EAB" w:rsidRDefault="00EA7EAB">
      <w:pPr>
        <w:spacing w:before="40"/>
      </w:pPr>
    </w:p>
    <w:tbl>
      <w:tblPr>
        <w:tblStyle w:val="a5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8738"/>
      </w:tblGrid>
      <w:tr w:rsidR="00EA7EAB" w14:paraId="0C1587CD" w14:textId="77777777">
        <w:tc>
          <w:tcPr>
            <w:tcW w:w="900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E6F1FB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00000048" w14:textId="77777777" w:rsidR="00EA7EAB" w:rsidRDefault="002E4A9F">
            <w:pPr>
              <w:jc w:val="center"/>
            </w:pPr>
            <w:r>
              <w:rPr>
                <w:b/>
                <w:bCs/>
                <w:color w:val="0C447C"/>
                <w:sz w:val="18"/>
                <w:szCs w:val="18"/>
              </w:rPr>
              <w:t>N. 3</w:t>
            </w:r>
          </w:p>
        </w:tc>
        <w:tc>
          <w:tcPr>
            <w:tcW w:w="8738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FFFFFF"/>
            <w:tcMar>
              <w:top w:w="160" w:type="dxa"/>
              <w:left w:w="200" w:type="dxa"/>
              <w:bottom w:w="160" w:type="dxa"/>
              <w:right w:w="80" w:type="dxa"/>
            </w:tcMar>
          </w:tcPr>
          <w:p w14:paraId="00000049" w14:textId="77777777" w:rsidR="00EA7EAB" w:rsidRDefault="002E4A9F"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>Marketplace internazionali per l'export: modelli e strategie di utilizzo</w:t>
            </w:r>
          </w:p>
          <w:p w14:paraId="0000004A" w14:textId="77777777" w:rsidR="00EA7EAB" w:rsidRDefault="002E4A9F">
            <w:pPr>
              <w:spacing w:after="1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15 luglio </w:t>
            </w:r>
            <w:proofErr w:type="gramStart"/>
            <w:r>
              <w:rPr>
                <w:b/>
                <w:bCs/>
                <w:sz w:val="18"/>
                <w:szCs w:val="18"/>
              </w:rPr>
              <w:t>2026  (</w:t>
            </w:r>
            <w:proofErr w:type="gramEnd"/>
            <w:r>
              <w:rPr>
                <w:b/>
                <w:bCs/>
                <w:sz w:val="18"/>
                <w:szCs w:val="18"/>
              </w:rPr>
              <w:t>10.00–12.00)</w:t>
            </w:r>
          </w:p>
          <w:p w14:paraId="0000004B" w14:textId="77777777" w:rsidR="00EA7EAB" w:rsidRDefault="002E4A9F">
            <w:pPr>
              <w:spacing w:after="100"/>
            </w:pPr>
            <w:r>
              <w:rPr>
                <w:sz w:val="18"/>
                <w:szCs w:val="18"/>
              </w:rPr>
              <w:t>Programma:</w:t>
            </w:r>
          </w:p>
          <w:p w14:paraId="0000004C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Il modello di business dei marketplace: punti di forza e di debolezza</w:t>
            </w:r>
          </w:p>
          <w:p w14:paraId="0000004D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Quanti e quali sono i marketplace nel mondo (oltre Amazon)</w:t>
            </w:r>
          </w:p>
          <w:p w14:paraId="0000004E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Come scegliere i marketplace</w:t>
            </w:r>
          </w:p>
          <w:p w14:paraId="0000004F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lastRenderedPageBreak/>
              <w:t>Requisiti e vincoli</w:t>
            </w:r>
          </w:p>
          <w:p w14:paraId="00000050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Quale strategia adottare per la vendita online</w:t>
            </w:r>
          </w:p>
          <w:p w14:paraId="00000051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Errori frequenti sui marketplace</w:t>
            </w:r>
          </w:p>
          <w:p w14:paraId="00000052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Case study</w:t>
            </w:r>
          </w:p>
          <w:p w14:paraId="00000053" w14:textId="77777777" w:rsidR="00EA7EAB" w:rsidRDefault="00EA7EAB">
            <w:pPr>
              <w:spacing w:before="40" w:after="40"/>
              <w:rPr>
                <w:sz w:val="20"/>
                <w:szCs w:val="20"/>
                <w:u w:val="single"/>
              </w:rPr>
            </w:pPr>
          </w:p>
          <w:p w14:paraId="00000054" w14:textId="77777777" w:rsidR="00EA7EAB" w:rsidRDefault="002E4A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20"/>
                <w:szCs w:val="20"/>
                <w:u w:val="single"/>
              </w:rPr>
              <w:t>Docente: Daniele Rutigliano (esperto NIBI di marketing digitale)</w:t>
            </w:r>
          </w:p>
        </w:tc>
      </w:tr>
    </w:tbl>
    <w:p w14:paraId="00000055" w14:textId="77777777" w:rsidR="00EA7EAB" w:rsidRDefault="00EA7EAB">
      <w:pPr>
        <w:spacing w:before="40"/>
      </w:pPr>
    </w:p>
    <w:p w14:paraId="00000056" w14:textId="77777777" w:rsidR="00EA7EAB" w:rsidRDefault="00EA7EAB">
      <w:pPr>
        <w:spacing w:before="40"/>
      </w:pPr>
    </w:p>
    <w:tbl>
      <w:tblPr>
        <w:tblStyle w:val="a6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8738"/>
      </w:tblGrid>
      <w:tr w:rsidR="00EA7EAB" w14:paraId="0A7099C7" w14:textId="77777777">
        <w:tc>
          <w:tcPr>
            <w:tcW w:w="900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E6F1FB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00000057" w14:textId="77777777" w:rsidR="00EA7EAB" w:rsidRDefault="002E4A9F">
            <w:pPr>
              <w:jc w:val="center"/>
            </w:pPr>
            <w:r>
              <w:rPr>
                <w:b/>
                <w:bCs/>
                <w:color w:val="0C447C"/>
                <w:sz w:val="18"/>
                <w:szCs w:val="18"/>
              </w:rPr>
              <w:t>N. 4</w:t>
            </w:r>
          </w:p>
        </w:tc>
        <w:tc>
          <w:tcPr>
            <w:tcW w:w="8738" w:type="dxa"/>
            <w:tcBorders>
              <w:top w:val="single" w:sz="4" w:space="0" w:color="D3D1C7"/>
              <w:left w:val="nil"/>
              <w:bottom w:val="nil"/>
              <w:right w:val="nil"/>
            </w:tcBorders>
            <w:shd w:val="clear" w:color="auto" w:fill="FFFFFF"/>
            <w:tcMar>
              <w:top w:w="160" w:type="dxa"/>
              <w:left w:w="200" w:type="dxa"/>
              <w:bottom w:w="160" w:type="dxa"/>
              <w:right w:w="80" w:type="dxa"/>
            </w:tcMar>
          </w:tcPr>
          <w:p w14:paraId="00000058" w14:textId="77777777" w:rsidR="00EA7EAB" w:rsidRDefault="002E4A9F"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>Sostenibilità come leva strategica per la competitività internazionale</w:t>
            </w:r>
          </w:p>
          <w:p w14:paraId="00000059" w14:textId="77777777" w:rsidR="00EA7EAB" w:rsidRDefault="002E4A9F">
            <w:pPr>
              <w:spacing w:after="10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24 </w:t>
            </w:r>
            <w:proofErr w:type="gramStart"/>
            <w:r>
              <w:rPr>
                <w:b/>
                <w:bCs/>
                <w:sz w:val="18"/>
                <w:szCs w:val="18"/>
              </w:rPr>
              <w:t>settembre  (</w:t>
            </w:r>
            <w:proofErr w:type="gramEnd"/>
            <w:r>
              <w:rPr>
                <w:b/>
                <w:bCs/>
                <w:sz w:val="18"/>
                <w:szCs w:val="18"/>
              </w:rPr>
              <w:t>10.00–12.00)</w:t>
            </w:r>
          </w:p>
          <w:p w14:paraId="0000005A" w14:textId="77777777" w:rsidR="00EA7EAB" w:rsidRDefault="002E4A9F">
            <w:pPr>
              <w:spacing w:after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Programma:</w:t>
            </w:r>
          </w:p>
          <w:p w14:paraId="0000005B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Evoluzione della domanda internazionale e ruolo della sostenibilità</w:t>
            </w:r>
          </w:p>
          <w:p w14:paraId="0000005C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Sostenibilità come fattore di accesso ai mercati e alle filiere</w:t>
            </w:r>
          </w:p>
          <w:p w14:paraId="0000005D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Sostenibilità e posizionamento competitivo</w:t>
            </w:r>
          </w:p>
          <w:p w14:paraId="0000005E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Effetti sul valore percepito e sulle strategie di pricing</w:t>
            </w:r>
          </w:p>
          <w:p w14:paraId="0000005F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Sostenibilità come leva di differenziazione nei mercati esteri</w:t>
            </w:r>
          </w:p>
          <w:p w14:paraId="00000060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</w:rPr>
            </w:pPr>
            <w:r>
              <w:rPr>
                <w:sz w:val="18"/>
                <w:szCs w:val="18"/>
              </w:rPr>
              <w:t>Implicazioni per lo sviluppo internazionale: rafforzamento delle relazioni di filiera, maggiore presidio dei mercati e coerenza tra strategia e proposta di valore</w:t>
            </w:r>
          </w:p>
          <w:p w14:paraId="00000061" w14:textId="77777777" w:rsidR="00EA7EAB" w:rsidRDefault="002E4A9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sz w:val="18"/>
                <w:szCs w:val="18"/>
              </w:rPr>
            </w:pPr>
            <w:sdt>
              <w:sdtPr>
                <w:tag w:val="goog_rdk_6"/>
                <w:id w:val="1636687898"/>
              </w:sdtPr>
              <w:sdtEndPr/>
              <w:sdtContent/>
            </w:sdt>
            <w:sdt>
              <w:sdtPr>
                <w:tag w:val="goog_rdk_7"/>
                <w:id w:val="4822572"/>
              </w:sdtPr>
              <w:sdtEndPr/>
              <w:sdtContent/>
            </w:sdt>
            <w:r>
              <w:rPr>
                <w:sz w:val="18"/>
                <w:szCs w:val="18"/>
              </w:rPr>
              <w:t xml:space="preserve">Presentazione dello strumento ESG Pass </w:t>
            </w:r>
            <w:r>
              <w:rPr>
                <w:i/>
                <w:iCs/>
                <w:sz w:val="18"/>
                <w:szCs w:val="18"/>
              </w:rPr>
              <w:t xml:space="preserve">(a cura di </w:t>
            </w:r>
            <w:proofErr w:type="spellStart"/>
            <w:r>
              <w:rPr>
                <w:i/>
                <w:iCs/>
                <w:sz w:val="18"/>
                <w:szCs w:val="18"/>
              </w:rPr>
              <w:t>Innexta</w:t>
            </w:r>
            <w:proofErr w:type="spellEnd"/>
            <w:r>
              <w:rPr>
                <w:i/>
                <w:i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Sustainability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(a cura di </w:t>
            </w:r>
            <w:proofErr w:type="spellStart"/>
            <w:r>
              <w:rPr>
                <w:i/>
                <w:iCs/>
                <w:sz w:val="18"/>
                <w:szCs w:val="18"/>
              </w:rPr>
              <w:t>Dintec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- tbc</w:t>
            </w:r>
          </w:p>
          <w:p w14:paraId="00000062" w14:textId="77777777" w:rsidR="00EA7EAB" w:rsidRDefault="00EA7EAB">
            <w:pPr>
              <w:spacing w:before="40" w:after="40"/>
              <w:rPr>
                <w:sz w:val="20"/>
                <w:szCs w:val="20"/>
                <w:u w:val="single"/>
              </w:rPr>
            </w:pPr>
          </w:p>
          <w:p w14:paraId="00000063" w14:textId="77777777" w:rsidR="00EA7EAB" w:rsidRDefault="002E4A9F">
            <w:pPr>
              <w:spacing w:before="40" w:after="40"/>
              <w:rPr>
                <w:sz w:val="18"/>
                <w:szCs w:val="18"/>
              </w:rPr>
            </w:pPr>
            <w:sdt>
              <w:sdtPr>
                <w:tag w:val="goog_rdk_8"/>
                <w:id w:val="-1939546997"/>
              </w:sdtPr>
              <w:sdtEndPr/>
              <w:sdtContent/>
            </w:sdt>
            <w:sdt>
              <w:sdtPr>
                <w:tag w:val="goog_rdk_9"/>
                <w:id w:val="-353886987"/>
              </w:sdtPr>
              <w:sdtEndPr/>
              <w:sdtContent/>
            </w:sdt>
            <w:r>
              <w:rPr>
                <w:sz w:val="20"/>
                <w:szCs w:val="20"/>
                <w:u w:val="single"/>
              </w:rPr>
              <w:t>Docente: Francesco Lagonigro</w:t>
            </w:r>
          </w:p>
        </w:tc>
      </w:tr>
    </w:tbl>
    <w:p w14:paraId="00000064" w14:textId="77777777" w:rsidR="00EA7EAB" w:rsidRDefault="00EA7EAB">
      <w:pPr>
        <w:spacing w:before="400"/>
      </w:pPr>
    </w:p>
    <w:tbl>
      <w:tblPr>
        <w:tblStyle w:val="a7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2"/>
        <w:gridCol w:w="8436"/>
      </w:tblGrid>
      <w:tr w:rsidR="00EA7EAB" w14:paraId="61AAAE15" w14:textId="77777777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854F0B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00000065" w14:textId="77777777" w:rsidR="00EA7EAB" w:rsidRDefault="002E4A9F">
            <w:pPr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t>3</w:t>
            </w:r>
          </w:p>
          <w:p w14:paraId="00000066" w14:textId="77777777" w:rsidR="00EA7EAB" w:rsidRDefault="002E4A9F">
            <w:pPr>
              <w:jc w:val="center"/>
            </w:pPr>
            <w:r>
              <w:rPr>
                <w:color w:val="C8E8E0"/>
                <w:sz w:val="14"/>
                <w:szCs w:val="14"/>
              </w:rPr>
              <w:t>PERCORSO</w:t>
            </w: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shd w:val="clear" w:color="auto" w:fill="FAEEDA"/>
            <w:tcMar>
              <w:top w:w="160" w:type="dxa"/>
              <w:left w:w="280" w:type="dxa"/>
              <w:bottom w:w="160" w:type="dxa"/>
              <w:right w:w="280" w:type="dxa"/>
            </w:tcMar>
          </w:tcPr>
          <w:p w14:paraId="00000067" w14:textId="77777777" w:rsidR="00EA7EAB" w:rsidRDefault="002E4A9F">
            <w:pPr>
              <w:spacing w:after="40"/>
            </w:pPr>
            <w:sdt>
              <w:sdtPr>
                <w:tag w:val="goog_rdk_10"/>
                <w:id w:val="366899278"/>
              </w:sdtPr>
              <w:sdtEndPr/>
              <w:sdtContent/>
            </w:sdt>
            <w:sdt>
              <w:sdtPr>
                <w:tag w:val="goog_rdk_11"/>
                <w:id w:val="983138749"/>
              </w:sdtPr>
              <w:sdtEndPr/>
              <w:sdtContent/>
            </w:sdt>
            <w:sdt>
              <w:sdtPr>
                <w:tag w:val="goog_rdk_12"/>
                <w:id w:val="-1783979324"/>
              </w:sdtPr>
              <w:sdtEndPr/>
              <w:sdtContent/>
            </w:sdt>
            <w:sdt>
              <w:sdtPr>
                <w:tag w:val="goog_rdk_13"/>
                <w:id w:val="-1056113816"/>
              </w:sdtPr>
              <w:sdtEndPr/>
              <w:sdtContent/>
            </w:sdt>
          </w:p>
          <w:p w14:paraId="00000068" w14:textId="77777777" w:rsidR="00EA7EAB" w:rsidRDefault="002E4A9F">
            <w:pPr>
              <w:spacing w:after="60"/>
              <w:rPr>
                <w:b/>
                <w:bCs/>
                <w:color w:val="633806"/>
                <w:sz w:val="28"/>
                <w:szCs w:val="28"/>
              </w:rPr>
            </w:pPr>
            <w:r>
              <w:rPr>
                <w:b/>
                <w:bCs/>
                <w:color w:val="633806"/>
                <w:sz w:val="28"/>
                <w:szCs w:val="28"/>
              </w:rPr>
              <w:t>PERCORSI AREE GEOGRAFICHE</w:t>
            </w:r>
          </w:p>
          <w:p w14:paraId="00000069" w14:textId="77777777" w:rsidR="00EA7EAB" w:rsidRDefault="002E4A9F">
            <w:r>
              <w:rPr>
                <w:i/>
                <w:iCs/>
                <w:color w:val="633806"/>
                <w:sz w:val="19"/>
                <w:szCs w:val="19"/>
              </w:rPr>
              <w:t xml:space="preserve">Approfondimenti di mercati target strategici per le imprese italiane </w:t>
            </w:r>
          </w:p>
        </w:tc>
      </w:tr>
    </w:tbl>
    <w:p w14:paraId="0000006A" w14:textId="77777777" w:rsidR="00EA7EAB" w:rsidRDefault="00EA7EAB">
      <w:pPr>
        <w:spacing w:before="240"/>
      </w:pPr>
    </w:p>
    <w:p w14:paraId="0000006B" w14:textId="77777777" w:rsidR="00EA7EAB" w:rsidRDefault="002E4A9F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percorso prevede moduli on line di approfondimento geografico che consentono alle imprese di declinare le strategie di sviluppo internazionale su specifici mercati target. </w:t>
      </w:r>
      <w:proofErr w:type="gramStart"/>
      <w:r>
        <w:rPr>
          <w:sz w:val="20"/>
          <w:szCs w:val="20"/>
        </w:rPr>
        <w:t>I focus</w:t>
      </w:r>
      <w:proofErr w:type="gramEnd"/>
      <w:r>
        <w:rPr>
          <w:sz w:val="20"/>
          <w:szCs w:val="20"/>
        </w:rPr>
        <w:t xml:space="preserve"> geografici offrono una lettura operativa dei mercati, utile a supportare le imprese nelle valutazioni e nelle scelte di sviluppo internazionale, anche includendo interventi del sistema camerale italiano all’estero e delle camere miste.</w:t>
      </w:r>
    </w:p>
    <w:p w14:paraId="0000006C" w14:textId="77777777" w:rsidR="00EA7EAB" w:rsidRDefault="00EA7EAB">
      <w:pPr>
        <w:spacing w:after="160"/>
        <w:jc w:val="both"/>
        <w:rPr>
          <w:color w:val="444444"/>
          <w:sz w:val="20"/>
          <w:szCs w:val="20"/>
        </w:rPr>
      </w:pPr>
    </w:p>
    <w:p w14:paraId="0000006D" w14:textId="77777777" w:rsidR="00EA7EAB" w:rsidRDefault="002E4A9F">
      <w:pPr>
        <w:spacing w:after="160"/>
        <w:jc w:val="both"/>
      </w:pPr>
      <w:sdt>
        <w:sdtPr>
          <w:tag w:val="goog_rdk_14"/>
          <w:id w:val="49151122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→ MERCOSUR: Accesso al mercato e sviluppo commerciali in Brasile e Argentina</w:t>
          </w:r>
        </w:sdtContent>
      </w:sdt>
    </w:p>
    <w:p w14:paraId="0000006E" w14:textId="77777777" w:rsidR="00EA7EAB" w:rsidRDefault="002E4A9F">
      <w:pPr>
        <w:spacing w:after="1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16 settembre 2026 (14.30–17.00)</w:t>
      </w:r>
    </w:p>
    <w:p w14:paraId="0000006F" w14:textId="77777777" w:rsidR="00EA7EAB" w:rsidRDefault="002E4A9F">
      <w:pPr>
        <w:spacing w:after="120"/>
      </w:pPr>
      <w:r>
        <w:rPr>
          <w:sz w:val="20"/>
          <w:szCs w:val="20"/>
        </w:rPr>
        <w:t>Il webinar approfondisce le prospettive dell'area Mercosur, con un focus su Brasile e Argentina, analizzando opportunità di business, modalità di accesso al mercato, canali distributivi e principali criticità normative e commerciali per le imprese italiane.</w:t>
      </w:r>
    </w:p>
    <w:p w14:paraId="00000070" w14:textId="77777777" w:rsidR="00EA7EAB" w:rsidRDefault="002E4A9F">
      <w:pPr>
        <w:spacing w:after="60"/>
        <w:rPr>
          <w:sz w:val="20"/>
          <w:szCs w:val="20"/>
        </w:rPr>
      </w:pPr>
      <w:r>
        <w:rPr>
          <w:sz w:val="20"/>
          <w:szCs w:val="20"/>
        </w:rPr>
        <w:t>Contenuti:</w:t>
      </w:r>
    </w:p>
    <w:p w14:paraId="00000071" w14:textId="77777777" w:rsidR="00EA7EAB" w:rsidRDefault="002E4A9F">
      <w:pPr>
        <w:spacing w:after="60"/>
        <w:rPr>
          <w:b/>
          <w:bCs/>
        </w:rPr>
      </w:pPr>
      <w:r>
        <w:rPr>
          <w:b/>
          <w:bCs/>
          <w:sz w:val="20"/>
          <w:szCs w:val="20"/>
        </w:rPr>
        <w:t>Accordo UE–Mercosur</w:t>
      </w:r>
    </w:p>
    <w:p w14:paraId="00000072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Stato dell'accordo UE–Mercosur e implicazioni per le imprese</w:t>
      </w:r>
    </w:p>
    <w:p w14:paraId="00000073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Opportunità commerciali per le imprese italiane</w:t>
      </w:r>
    </w:p>
    <w:p w14:paraId="00000074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Impatti sui principali settori del Made in Italy</w:t>
      </w:r>
    </w:p>
    <w:p w14:paraId="00000075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Principali criticità normative e barriere all'ingresso</w:t>
      </w:r>
    </w:p>
    <w:p w14:paraId="00000076" w14:textId="77777777" w:rsidR="00EA7EAB" w:rsidRDefault="002E4A9F">
      <w:pPr>
        <w:spacing w:after="60"/>
      </w:pPr>
      <w:r>
        <w:rPr>
          <w:b/>
          <w:bCs/>
          <w:sz w:val="20"/>
          <w:szCs w:val="20"/>
        </w:rPr>
        <w:t>Focus Brasile</w:t>
      </w:r>
    </w:p>
    <w:p w14:paraId="00000077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Caratteristiche del mercato brasiliano e ruolo strategico di San Paolo</w:t>
      </w:r>
    </w:p>
    <w:p w14:paraId="00000078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proofErr w:type="gramStart"/>
      <w:r>
        <w:rPr>
          <w:sz w:val="20"/>
          <w:szCs w:val="20"/>
        </w:rPr>
        <w:lastRenderedPageBreak/>
        <w:t>Trend settoriali</w:t>
      </w:r>
      <w:proofErr w:type="gramEnd"/>
      <w:r>
        <w:rPr>
          <w:sz w:val="20"/>
          <w:szCs w:val="20"/>
        </w:rPr>
        <w:t xml:space="preserve"> e opportunità per le imprese italiane</w:t>
      </w:r>
    </w:p>
    <w:p w14:paraId="00000079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Modalità di accesso al mercato e struttura dei canali distributivi</w:t>
      </w:r>
    </w:p>
    <w:p w14:paraId="0000007A" w14:textId="77777777" w:rsidR="00EA7EAB" w:rsidRDefault="002E4A9F">
      <w:pPr>
        <w:spacing w:after="60"/>
      </w:pPr>
      <w:r>
        <w:rPr>
          <w:b/>
          <w:bCs/>
          <w:sz w:val="20"/>
          <w:szCs w:val="20"/>
        </w:rPr>
        <w:t>Focus Argentina</w:t>
      </w:r>
    </w:p>
    <w:p w14:paraId="0000007B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Caratteristiche del mercato argentino</w:t>
      </w:r>
    </w:p>
    <w:p w14:paraId="0000007C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proofErr w:type="gramStart"/>
      <w:r>
        <w:rPr>
          <w:sz w:val="20"/>
          <w:szCs w:val="20"/>
        </w:rPr>
        <w:t>Trend settoriali</w:t>
      </w:r>
      <w:proofErr w:type="gramEnd"/>
      <w:r>
        <w:rPr>
          <w:sz w:val="20"/>
          <w:szCs w:val="20"/>
        </w:rPr>
        <w:t xml:space="preserve"> e opportunità per le imprese italiane</w:t>
      </w:r>
    </w:p>
    <w:p w14:paraId="0000007D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Modalità di accesso al mercato e struttura dei canali distributivi</w:t>
      </w:r>
    </w:p>
    <w:p w14:paraId="0000007E" w14:textId="77777777" w:rsidR="00EA7EAB" w:rsidRDefault="002E4A9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Docenti: Claudio Farabola (CCIE Argentina); Alfredo Pretto (CCIE Brasile), Cristina Piangatello (esperto NIBI, doganalista - tbc)</w:t>
      </w:r>
    </w:p>
    <w:p w14:paraId="0000007F" w14:textId="77777777" w:rsidR="00EA7EAB" w:rsidRDefault="00EA7EAB">
      <w:pPr>
        <w:rPr>
          <w:sz w:val="20"/>
          <w:szCs w:val="20"/>
          <w:u w:val="single"/>
        </w:rPr>
      </w:pPr>
    </w:p>
    <w:p w14:paraId="00000080" w14:textId="77777777" w:rsidR="00EA7EAB" w:rsidRDefault="002E4A9F">
      <w:pPr>
        <w:spacing w:before="200" w:after="80"/>
        <w:rPr>
          <w:b/>
          <w:bCs/>
          <w:color w:val="854F0B"/>
        </w:rPr>
      </w:pPr>
      <w:sdt>
        <w:sdtPr>
          <w:tag w:val="goog_rdk_15"/>
          <w:id w:val="-1031487544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→ FOCUS INDIA – Accesso al mercato e sviluppo commerciale</w:t>
          </w:r>
        </w:sdtContent>
      </w:sdt>
    </w:p>
    <w:p w14:paraId="00000081" w14:textId="77777777" w:rsidR="00EA7EAB" w:rsidRDefault="002E4A9F">
      <w:pPr>
        <w:spacing w:after="100"/>
        <w:rPr>
          <w:sz w:val="20"/>
          <w:szCs w:val="20"/>
        </w:rPr>
      </w:pPr>
      <w:proofErr w:type="gramStart"/>
      <w:r>
        <w:rPr>
          <w:b/>
          <w:bCs/>
          <w:sz w:val="18"/>
          <w:szCs w:val="18"/>
        </w:rPr>
        <w:t>1 ottobre</w:t>
      </w:r>
      <w:proofErr w:type="gramEnd"/>
      <w:r>
        <w:rPr>
          <w:b/>
          <w:bCs/>
          <w:sz w:val="18"/>
          <w:szCs w:val="18"/>
        </w:rPr>
        <w:t xml:space="preserve"> 2026 (9.30–12.30)</w:t>
      </w:r>
    </w:p>
    <w:p w14:paraId="00000082" w14:textId="77777777" w:rsidR="00EA7EAB" w:rsidRDefault="002E4A9F">
      <w:pPr>
        <w:spacing w:after="60"/>
        <w:rPr>
          <w:sz w:val="20"/>
          <w:szCs w:val="20"/>
        </w:rPr>
      </w:pPr>
      <w:r>
        <w:rPr>
          <w:sz w:val="20"/>
          <w:szCs w:val="20"/>
        </w:rPr>
        <w:t>Contenuti:</w:t>
      </w:r>
    </w:p>
    <w:p w14:paraId="00000083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Caratteristiche del mercato indiano e principali dinamiche di crescita</w:t>
      </w:r>
    </w:p>
    <w:p w14:paraId="00000084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proofErr w:type="gramStart"/>
      <w:r>
        <w:rPr>
          <w:sz w:val="20"/>
          <w:szCs w:val="20"/>
        </w:rPr>
        <w:t>Trend settoriali</w:t>
      </w:r>
      <w:proofErr w:type="gramEnd"/>
      <w:r>
        <w:rPr>
          <w:sz w:val="20"/>
          <w:szCs w:val="20"/>
        </w:rPr>
        <w:t xml:space="preserve"> e opportunità per le imprese italiane; modalità di accesso al mercato e struttura dei canali distributivi</w:t>
      </w:r>
    </w:p>
    <w:p w14:paraId="00000085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L’Accordo UE-India: cosa cambia per le imprese?</w:t>
      </w:r>
    </w:p>
    <w:p w14:paraId="00000086" w14:textId="77777777" w:rsidR="00EA7EAB" w:rsidRDefault="002E4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</w:rPr>
      </w:pPr>
      <w:r>
        <w:rPr>
          <w:sz w:val="20"/>
          <w:szCs w:val="20"/>
        </w:rPr>
        <w:t>La tutela della proprietà intellettuale in India (in collaborazione con IPR Helpdesk India)</w:t>
      </w:r>
    </w:p>
    <w:p w14:paraId="00000087" w14:textId="77777777" w:rsidR="00EA7EAB" w:rsidRDefault="002E4A9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Docenti: </w:t>
      </w:r>
      <w:sdt>
        <w:sdtPr>
          <w:tag w:val="goog_rdk_16"/>
          <w:id w:val="-692793952"/>
        </w:sdtPr>
        <w:sdtEndPr/>
        <w:sdtContent/>
      </w:sdt>
      <w:r>
        <w:rPr>
          <w:sz w:val="20"/>
          <w:szCs w:val="20"/>
          <w:u w:val="single"/>
        </w:rPr>
        <w:t xml:space="preserve">Claudio Maffioletti (CCIE India) </w:t>
      </w:r>
      <w:r>
        <w:rPr>
          <w:sz w:val="20"/>
          <w:szCs w:val="20"/>
          <w:u w:val="single"/>
        </w:rPr>
        <w:t>Luca Valente (IPR Helpdesk Europeo)</w:t>
      </w:r>
    </w:p>
    <w:p w14:paraId="00000088" w14:textId="77777777" w:rsidR="00EA7EAB" w:rsidRDefault="00EA7EAB">
      <w:pPr>
        <w:rPr>
          <w:sz w:val="20"/>
          <w:szCs w:val="20"/>
          <w:u w:val="single"/>
        </w:rPr>
      </w:pPr>
    </w:p>
    <w:p w14:paraId="00000089" w14:textId="77777777" w:rsidR="00EA7EAB" w:rsidRDefault="002E4A9F">
      <w:pPr>
        <w:spacing w:before="200" w:after="80"/>
        <w:rPr>
          <w:b/>
          <w:bCs/>
          <w:color w:val="854F0B"/>
        </w:rPr>
      </w:pPr>
      <w:sdt>
        <w:sdtPr>
          <w:tag w:val="goog_rdk_17"/>
          <w:id w:val="-286659964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 xml:space="preserve">→ FOCUS ASIA: SCENARIO E SUPPLY </w:t>
          </w:r>
          <w:proofErr w:type="gramStart"/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CHAIN(</w:t>
          </w:r>
          <w:proofErr w:type="spellStart"/>
          <w:proofErr w:type="gramEnd"/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tbd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)</w:t>
          </w:r>
        </w:sdtContent>
      </w:sdt>
    </w:p>
    <w:p w14:paraId="0000008A" w14:textId="77777777" w:rsidR="00EA7EAB" w:rsidRDefault="002E4A9F">
      <w:pPr>
        <w:spacing w:before="200" w:after="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Modulo 1 </w:t>
      </w:r>
      <w:proofErr w:type="gramStart"/>
      <w:r>
        <w:rPr>
          <w:b/>
          <w:bCs/>
          <w:sz w:val="18"/>
          <w:szCs w:val="18"/>
        </w:rPr>
        <w:t>-  Cina</w:t>
      </w:r>
      <w:proofErr w:type="gramEnd"/>
      <w:r>
        <w:rPr>
          <w:b/>
          <w:bCs/>
          <w:sz w:val="18"/>
          <w:szCs w:val="18"/>
        </w:rPr>
        <w:t xml:space="preserve"> e Sud Est Asiatico a confronto - 8 ottobre 2026 (10.00–12.00)</w:t>
      </w:r>
    </w:p>
    <w:p w14:paraId="0000008B" w14:textId="77777777" w:rsidR="00EA7EAB" w:rsidRDefault="002E4A9F">
      <w:pPr>
        <w:spacing w:after="1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Modulo 2 </w:t>
      </w:r>
      <w:proofErr w:type="gramStart"/>
      <w:r>
        <w:rPr>
          <w:b/>
          <w:bCs/>
          <w:sz w:val="18"/>
          <w:szCs w:val="18"/>
        </w:rPr>
        <w:t>-  Rotte</w:t>
      </w:r>
      <w:proofErr w:type="gramEnd"/>
      <w:r>
        <w:rPr>
          <w:b/>
          <w:bCs/>
          <w:sz w:val="18"/>
          <w:szCs w:val="18"/>
        </w:rPr>
        <w:t xml:space="preserve"> interrotte e Supply Chain resilienti: Evoluzione delle supply chain e della logistica in Asia e come proteggere la logistica euro-asiatica </w:t>
      </w:r>
      <w:proofErr w:type="gramStart"/>
      <w:r>
        <w:rPr>
          <w:b/>
          <w:bCs/>
          <w:sz w:val="18"/>
          <w:szCs w:val="18"/>
        </w:rPr>
        <w:t>-  15</w:t>
      </w:r>
      <w:proofErr w:type="gramEnd"/>
      <w:r>
        <w:rPr>
          <w:b/>
          <w:bCs/>
          <w:sz w:val="18"/>
          <w:szCs w:val="18"/>
        </w:rPr>
        <w:t xml:space="preserve"> ottobre 2026 (14.30–16.30)</w:t>
      </w:r>
    </w:p>
    <w:p w14:paraId="0000008C" w14:textId="77777777" w:rsidR="00EA7EAB" w:rsidRDefault="002E4A9F">
      <w:pPr>
        <w:spacing w:after="100"/>
        <w:rPr>
          <w:b/>
          <w:bCs/>
        </w:rPr>
      </w:pPr>
      <w:r>
        <w:rPr>
          <w:b/>
          <w:bCs/>
          <w:sz w:val="18"/>
          <w:szCs w:val="18"/>
        </w:rPr>
        <w:t>Modulo 3 - La mappa geopolitica del business e Go-To-Market in Asia - 4 novembre 2026 (14.30–16.30)</w:t>
      </w:r>
    </w:p>
    <w:p w14:paraId="0000008D" w14:textId="77777777" w:rsidR="00EA7EAB" w:rsidRDefault="002E4A9F">
      <w:pPr>
        <w:rPr>
          <w:b/>
          <w:bCs/>
          <w:i/>
          <w:iCs/>
          <w:color w:val="EE0000"/>
          <w:sz w:val="20"/>
          <w:szCs w:val="20"/>
        </w:rPr>
      </w:pPr>
      <w:r>
        <w:rPr>
          <w:sz w:val="20"/>
          <w:szCs w:val="20"/>
        </w:rPr>
        <w:t xml:space="preserve">Contenuti: Un ciclo di </w:t>
      </w:r>
      <w:proofErr w:type="gramStart"/>
      <w:r>
        <w:rPr>
          <w:sz w:val="20"/>
          <w:szCs w:val="20"/>
        </w:rPr>
        <w:t>3</w:t>
      </w:r>
      <w:proofErr w:type="gramEnd"/>
      <w:r>
        <w:rPr>
          <w:sz w:val="20"/>
          <w:szCs w:val="20"/>
        </w:rPr>
        <w:t xml:space="preserve"> Masterclass online esclusive, strutturate per trasferire il know-how direttamente alle imprese associate, valorizzando il network di esperti del Club Asia. Ogni webinar prevede interventi di esperti, sessione Q&amp;A e materiali di supporto.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color w:val="EE0000"/>
          <w:sz w:val="20"/>
          <w:szCs w:val="20"/>
        </w:rPr>
        <w:t xml:space="preserve">(in collaborazione con </w:t>
      </w:r>
      <w:proofErr w:type="spellStart"/>
      <w:r>
        <w:rPr>
          <w:b/>
          <w:bCs/>
          <w:i/>
          <w:iCs/>
          <w:color w:val="EE0000"/>
          <w:sz w:val="20"/>
          <w:szCs w:val="20"/>
        </w:rPr>
        <w:t>ClubAsia</w:t>
      </w:r>
      <w:proofErr w:type="spellEnd"/>
      <w:r>
        <w:rPr>
          <w:b/>
          <w:bCs/>
          <w:i/>
          <w:iCs/>
          <w:color w:val="EE0000"/>
          <w:sz w:val="20"/>
          <w:szCs w:val="20"/>
        </w:rPr>
        <w:t>)</w:t>
      </w:r>
    </w:p>
    <w:p w14:paraId="0000008E" w14:textId="77777777" w:rsidR="00EA7EAB" w:rsidRDefault="002E4A9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Docenti: TBD con Club Asia </w:t>
      </w:r>
    </w:p>
    <w:p w14:paraId="0000008F" w14:textId="77777777" w:rsidR="00EA7EAB" w:rsidRDefault="00EA7EAB">
      <w:pPr>
        <w:rPr>
          <w:sz w:val="20"/>
          <w:szCs w:val="20"/>
          <w:u w:val="single"/>
        </w:rPr>
      </w:pPr>
    </w:p>
    <w:p w14:paraId="00000090" w14:textId="77777777" w:rsidR="00EA7EAB" w:rsidRDefault="00EA7EAB">
      <w:pPr>
        <w:rPr>
          <w:sz w:val="20"/>
          <w:szCs w:val="20"/>
          <w:u w:val="single"/>
        </w:rPr>
      </w:pPr>
    </w:p>
    <w:p w14:paraId="00000091" w14:textId="77777777" w:rsidR="00EA7EAB" w:rsidRDefault="002E4A9F">
      <w:pPr>
        <w:rPr>
          <w:b/>
          <w:bCs/>
          <w:color w:val="854F0B"/>
        </w:rPr>
      </w:pPr>
      <w:sdt>
        <w:sdtPr>
          <w:tag w:val="goog_rdk_18"/>
          <w:id w:val="-2147348976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 xml:space="preserve">→ AREA MEDITERRANEO E GOLFO: Accesso al mercato e opportunità per le imprese </w:t>
          </w:r>
        </w:sdtContent>
      </w:sdt>
    </w:p>
    <w:p w14:paraId="00000092" w14:textId="77777777" w:rsidR="00EA7EAB" w:rsidRDefault="00EA7EA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854F0B"/>
        </w:rPr>
      </w:pPr>
    </w:p>
    <w:p w14:paraId="00000093" w14:textId="77777777" w:rsidR="00EA7EAB" w:rsidRDefault="002E4A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9 novembre (10.00 - 12.00) </w:t>
      </w:r>
    </w:p>
    <w:p w14:paraId="00000094" w14:textId="77777777" w:rsidR="00EA7EAB" w:rsidRDefault="002E4A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18 </w:t>
      </w:r>
      <w:proofErr w:type="gramStart"/>
      <w:r>
        <w:rPr>
          <w:b/>
          <w:bCs/>
          <w:sz w:val="18"/>
          <w:szCs w:val="18"/>
        </w:rPr>
        <w:t>novembre  (</w:t>
      </w:r>
      <w:proofErr w:type="gramEnd"/>
      <w:r>
        <w:rPr>
          <w:b/>
          <w:bCs/>
          <w:sz w:val="18"/>
          <w:szCs w:val="18"/>
        </w:rPr>
        <w:t xml:space="preserve">10.00 - 12.00) </w:t>
      </w:r>
    </w:p>
    <w:p w14:paraId="00000095" w14:textId="77777777" w:rsidR="00EA7EAB" w:rsidRDefault="00EA7EA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18"/>
          <w:szCs w:val="18"/>
        </w:rPr>
      </w:pPr>
    </w:p>
    <w:p w14:paraId="00000096" w14:textId="77777777" w:rsidR="00EA7EAB" w:rsidRDefault="002E4A9F">
      <w:pPr>
        <w:rPr>
          <w:b/>
          <w:bCs/>
          <w:i/>
          <w:iCs/>
          <w:color w:val="EE0000"/>
          <w:sz w:val="20"/>
          <w:szCs w:val="20"/>
        </w:rPr>
      </w:pPr>
      <w:r>
        <w:rPr>
          <w:sz w:val="20"/>
          <w:szCs w:val="20"/>
        </w:rPr>
        <w:t>Contenuti: in definizione</w:t>
      </w:r>
      <w:r>
        <w:rPr>
          <w:b/>
          <w:bCs/>
          <w:i/>
          <w:iCs/>
          <w:color w:val="EE0000"/>
          <w:sz w:val="20"/>
          <w:szCs w:val="20"/>
        </w:rPr>
        <w:t xml:space="preserve"> (in collaborazione con JIACC)</w:t>
      </w:r>
    </w:p>
    <w:p w14:paraId="00000097" w14:textId="77777777" w:rsidR="00EA7EAB" w:rsidRDefault="002E4A9F">
      <w:pPr>
        <w:rPr>
          <w:b/>
          <w:bCs/>
          <w:i/>
          <w:iCs/>
          <w:color w:val="EE0000"/>
          <w:sz w:val="20"/>
          <w:szCs w:val="20"/>
        </w:rPr>
      </w:pPr>
      <w:r>
        <w:rPr>
          <w:sz w:val="20"/>
          <w:szCs w:val="20"/>
          <w:u w:val="single"/>
        </w:rPr>
        <w:t>Docente: Pietro Paolo Rampino (JIACC)</w:t>
      </w:r>
    </w:p>
    <w:p w14:paraId="00000098" w14:textId="77777777" w:rsidR="00EA7EAB" w:rsidRDefault="00EA7EAB">
      <w:pPr>
        <w:rPr>
          <w:b/>
          <w:bCs/>
          <w:i/>
          <w:iCs/>
          <w:color w:val="EE0000"/>
          <w:sz w:val="20"/>
          <w:szCs w:val="20"/>
        </w:rPr>
      </w:pPr>
    </w:p>
    <w:tbl>
      <w:tblPr>
        <w:tblStyle w:val="a8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2"/>
        <w:gridCol w:w="8436"/>
      </w:tblGrid>
      <w:tr w:rsidR="00EA7EAB" w14:paraId="55B971D0" w14:textId="77777777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00000099" w14:textId="77777777" w:rsidR="00EA7EAB" w:rsidRDefault="002E4A9F">
            <w:pPr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t>4</w:t>
            </w:r>
          </w:p>
          <w:p w14:paraId="0000009A" w14:textId="77777777" w:rsidR="00EA7EAB" w:rsidRDefault="002E4A9F">
            <w:pPr>
              <w:jc w:val="center"/>
            </w:pPr>
            <w:r>
              <w:rPr>
                <w:color w:val="C8E8E0"/>
                <w:sz w:val="14"/>
                <w:szCs w:val="14"/>
              </w:rPr>
              <w:t>PERCORSO</w:t>
            </w: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  <w:tcMar>
              <w:top w:w="160" w:type="dxa"/>
              <w:left w:w="280" w:type="dxa"/>
              <w:bottom w:w="160" w:type="dxa"/>
              <w:right w:w="280" w:type="dxa"/>
            </w:tcMar>
          </w:tcPr>
          <w:p w14:paraId="0000009B" w14:textId="77777777" w:rsidR="00EA7EAB" w:rsidRDefault="00EA7EAB">
            <w:pPr>
              <w:spacing w:after="40"/>
              <w:rPr>
                <w:color w:val="FFD966"/>
              </w:rPr>
            </w:pPr>
          </w:p>
          <w:p w14:paraId="0000009C" w14:textId="77777777" w:rsidR="00EA7EAB" w:rsidRDefault="002E4A9F">
            <w:pPr>
              <w:spacing w:after="60"/>
              <w:rPr>
                <w:b/>
                <w:bCs/>
                <w:color w:val="B45F06"/>
                <w:sz w:val="28"/>
                <w:szCs w:val="28"/>
              </w:rPr>
            </w:pPr>
            <w:r>
              <w:rPr>
                <w:b/>
                <w:bCs/>
                <w:color w:val="B45F06"/>
                <w:sz w:val="28"/>
                <w:szCs w:val="28"/>
              </w:rPr>
              <w:t>FINANCIAL ADVISORY</w:t>
            </w:r>
          </w:p>
          <w:p w14:paraId="0000009D" w14:textId="77777777" w:rsidR="00EA7EAB" w:rsidRDefault="002E4A9F">
            <w:pPr>
              <w:rPr>
                <w:color w:val="B45F06"/>
              </w:rPr>
            </w:pPr>
            <w:r>
              <w:rPr>
                <w:i/>
                <w:iCs/>
                <w:color w:val="B45F06"/>
                <w:sz w:val="19"/>
                <w:szCs w:val="19"/>
              </w:rPr>
              <w:t xml:space="preserve">Come finanziare la crescita internazionale e sfruttare le opportunità di bandi e gare internazionali </w:t>
            </w:r>
          </w:p>
        </w:tc>
      </w:tr>
    </w:tbl>
    <w:p w14:paraId="0000009E" w14:textId="77777777" w:rsidR="00EA7EAB" w:rsidRDefault="002E4A9F">
      <w:pPr>
        <w:spacing w:before="200" w:after="80"/>
        <w:rPr>
          <w:sz w:val="20"/>
          <w:szCs w:val="20"/>
        </w:rPr>
      </w:pPr>
      <w:r>
        <w:rPr>
          <w:sz w:val="20"/>
          <w:szCs w:val="20"/>
        </w:rPr>
        <w:t xml:space="preserve">Il percorso di </w:t>
      </w:r>
      <w:r>
        <w:rPr>
          <w:b/>
          <w:bCs/>
          <w:sz w:val="20"/>
          <w:szCs w:val="20"/>
        </w:rPr>
        <w:t xml:space="preserve">Financial </w:t>
      </w:r>
      <w:proofErr w:type="spellStart"/>
      <w:r>
        <w:rPr>
          <w:b/>
          <w:bCs/>
          <w:sz w:val="20"/>
          <w:szCs w:val="20"/>
        </w:rPr>
        <w:t>Advisory</w:t>
      </w:r>
      <w:proofErr w:type="spellEnd"/>
      <w:r>
        <w:rPr>
          <w:sz w:val="20"/>
          <w:szCs w:val="20"/>
        </w:rPr>
        <w:t xml:space="preserve"> nasce per fornire alle imprese informazioni, strumenti pratici e chiavi di lettura operative per orientarsi nel mondo della finanza per l’internazionalizzazione. L’obiettivo è aiutare le aziende a comprendere come utilizzare in modo più consapevole finanziamenti nazionali e internazionali, strumenti di garanzia, misure agevolative, bandi europei e opportunità derivanti da gare europee e internazionali. Questi strumenti non rappresentano solo fonti di copertura dei costi, ma vere e proprie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leve per pianificare la crescita sui mercati esteri, sostenere investimenti, ridurre i rischi commerciali e finanziari, rafforzare la competitività e accedere a nuove opportunità di business.</w:t>
      </w:r>
      <w:r>
        <w:rPr>
          <w:sz w:val="20"/>
          <w:szCs w:val="20"/>
        </w:rPr>
        <w:t xml:space="preserve"> </w:t>
      </w:r>
    </w:p>
    <w:p w14:paraId="0000009F" w14:textId="77777777" w:rsidR="00EA7EAB" w:rsidRDefault="00EA7EAB">
      <w:pPr>
        <w:spacing w:before="200" w:after="80"/>
        <w:rPr>
          <w:sz w:val="20"/>
          <w:szCs w:val="20"/>
        </w:rPr>
      </w:pPr>
    </w:p>
    <w:p w14:paraId="000000A0" w14:textId="77777777" w:rsidR="00EA7EAB" w:rsidRDefault="00EA7EAB">
      <w:pPr>
        <w:spacing w:before="200" w:after="80"/>
        <w:rPr>
          <w:sz w:val="20"/>
          <w:szCs w:val="20"/>
        </w:rPr>
      </w:pPr>
    </w:p>
    <w:p w14:paraId="000000A1" w14:textId="77777777" w:rsidR="00EA7EAB" w:rsidRDefault="002E4A9F">
      <w:pPr>
        <w:spacing w:before="200" w:after="80"/>
        <w:rPr>
          <w:b/>
          <w:bCs/>
          <w:color w:val="854F0B"/>
        </w:rPr>
      </w:pPr>
      <w:sdt>
        <w:sdtPr>
          <w:tag w:val="goog_rdk_19"/>
          <w:id w:val="-1725796136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→ </w:t>
          </w:r>
        </w:sdtContent>
      </w:sdt>
      <w:r>
        <w:rPr>
          <w:b/>
          <w:bCs/>
          <w:color w:val="854F0B"/>
        </w:rPr>
        <w:t>ORIENTAMENTO AGLI STRUMENTI FINANZIARI PER L'EXPORT</w:t>
      </w:r>
    </w:p>
    <w:p w14:paraId="000000A2" w14:textId="77777777" w:rsidR="00EA7EAB" w:rsidRDefault="002E4A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9 giugno 2026 (10.00 -11.30)</w:t>
      </w:r>
    </w:p>
    <w:p w14:paraId="000000A3" w14:textId="77777777" w:rsidR="00EA7EAB" w:rsidRDefault="002E4A9F">
      <w:pPr>
        <w:rPr>
          <w:sz w:val="20"/>
          <w:szCs w:val="20"/>
        </w:rPr>
      </w:pPr>
      <w:r>
        <w:rPr>
          <w:sz w:val="20"/>
          <w:szCs w:val="20"/>
        </w:rPr>
        <w:t xml:space="preserve">Il webinar ha l’obiettivo di aiutare le imprese a orientarsi tra </w:t>
      </w:r>
      <w:r>
        <w:rPr>
          <w:b/>
          <w:bCs/>
          <w:sz w:val="20"/>
          <w:szCs w:val="20"/>
        </w:rPr>
        <w:t>finanziamenti agevolati, contributi, voucher, strumenti bancari e servizi di accompagnamento</w:t>
      </w:r>
      <w:r>
        <w:rPr>
          <w:sz w:val="20"/>
          <w:szCs w:val="20"/>
        </w:rPr>
        <w:t xml:space="preserve">, chiarendo quali strumenti sono più adatti nelle diverse fasi del percorso di internazionalizzazione. </w:t>
      </w:r>
    </w:p>
    <w:p w14:paraId="000000A4" w14:textId="77777777" w:rsidR="00EA7EAB" w:rsidRDefault="002E4A9F">
      <w:pPr>
        <w:rPr>
          <w:sz w:val="20"/>
          <w:szCs w:val="20"/>
        </w:rPr>
      </w:pPr>
      <w:r>
        <w:rPr>
          <w:sz w:val="20"/>
          <w:szCs w:val="20"/>
        </w:rPr>
        <w:t xml:space="preserve">Contenuti: </w:t>
      </w:r>
    </w:p>
    <w:p w14:paraId="000000A5" w14:textId="77777777" w:rsidR="00EA7EAB" w:rsidRDefault="002E4A9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Perché parlare di finanza per l’internazionalizzazione</w:t>
      </w:r>
    </w:p>
    <w:p w14:paraId="000000A6" w14:textId="77777777" w:rsidR="00EA7EAB" w:rsidRDefault="002E4A9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 principali fabbisogni delle imprese</w:t>
      </w:r>
      <w:r>
        <w:rPr>
          <w:b/>
          <w:bCs/>
          <w:sz w:val="20"/>
          <w:szCs w:val="20"/>
        </w:rPr>
        <w:t xml:space="preserve"> (</w:t>
      </w:r>
      <w:r>
        <w:rPr>
          <w:sz w:val="20"/>
          <w:szCs w:val="20"/>
        </w:rPr>
        <w:t>Primo export, consolidamento mercati, e-commerce, fiere, gare, liquidità, investimenti esteri)</w:t>
      </w:r>
    </w:p>
    <w:p w14:paraId="000000A7" w14:textId="77777777" w:rsidR="00EA7EAB" w:rsidRDefault="002E4A9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Mappa degli strumenti disponibili e metodo pratico per scegliere lo strumento giusto </w:t>
      </w:r>
    </w:p>
    <w:p w14:paraId="000000A8" w14:textId="77777777" w:rsidR="00EA7EAB" w:rsidRDefault="002E4A9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Presentazione del Portale Agevolazioni (a cura di </w:t>
      </w:r>
      <w:proofErr w:type="spellStart"/>
      <w:r>
        <w:rPr>
          <w:sz w:val="20"/>
          <w:szCs w:val="20"/>
        </w:rPr>
        <w:t>Innexta</w:t>
      </w:r>
      <w:proofErr w:type="spellEnd"/>
      <w:r>
        <w:rPr>
          <w:sz w:val="20"/>
          <w:szCs w:val="20"/>
        </w:rPr>
        <w:t>, Roberto Brero)</w:t>
      </w:r>
    </w:p>
    <w:p w14:paraId="000000A9" w14:textId="77777777" w:rsidR="00EA7EAB" w:rsidRDefault="002E4A9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Docenti: Valeria Centinaro - Giulia Zucconi (Promos Italia)</w:t>
      </w:r>
    </w:p>
    <w:p w14:paraId="000000AA" w14:textId="77777777" w:rsidR="00EA7EAB" w:rsidRDefault="00EA7EAB">
      <w:pPr>
        <w:rPr>
          <w:sz w:val="20"/>
          <w:szCs w:val="20"/>
          <w:u w:val="single"/>
        </w:rPr>
      </w:pPr>
    </w:p>
    <w:p w14:paraId="000000AB" w14:textId="77777777" w:rsidR="00EA7EAB" w:rsidRDefault="00EA7EAB">
      <w:pPr>
        <w:rPr>
          <w:sz w:val="20"/>
          <w:szCs w:val="20"/>
          <w:u w:val="single"/>
        </w:rPr>
      </w:pPr>
    </w:p>
    <w:p w14:paraId="000000AC" w14:textId="77777777" w:rsidR="00EA7EAB" w:rsidRDefault="00EA7EAB">
      <w:pPr>
        <w:ind w:left="720"/>
        <w:rPr>
          <w:sz w:val="20"/>
          <w:szCs w:val="20"/>
        </w:rPr>
      </w:pPr>
    </w:p>
    <w:p w14:paraId="000000AD" w14:textId="77777777" w:rsidR="00EA7EAB" w:rsidRDefault="002E4A9F">
      <w:pPr>
        <w:rPr>
          <w:b/>
          <w:bCs/>
          <w:color w:val="854F0B"/>
        </w:rPr>
      </w:pPr>
      <w:sdt>
        <w:sdtPr>
          <w:tag w:val="goog_rdk_20"/>
          <w:id w:val="1018884501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→ LE NOVITÀ DI SIMEST: FINANZIAMENTI AGEVOLATI PER L'EXPORT DELLE PMI ITALIANE</w:t>
          </w:r>
        </w:sdtContent>
      </w:sdt>
    </w:p>
    <w:p w14:paraId="000000AE" w14:textId="77777777" w:rsidR="00EA7EAB" w:rsidRDefault="002E4A9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30 giugno 2026 (10.00 - 11.30)</w:t>
      </w:r>
    </w:p>
    <w:p w14:paraId="000000AF" w14:textId="77777777" w:rsidR="00EA7EAB" w:rsidRDefault="002E4A9F">
      <w:pPr>
        <w:rPr>
          <w:sz w:val="20"/>
          <w:szCs w:val="20"/>
        </w:rPr>
      </w:pPr>
      <w:r>
        <w:rPr>
          <w:sz w:val="20"/>
          <w:szCs w:val="20"/>
        </w:rPr>
        <w:t>Contenuti: Presentazione delle nuove misure di SIMEST per facilitare le attività di internazionalizzazione in India, USA e nel Golfo</w:t>
      </w:r>
    </w:p>
    <w:p w14:paraId="000000B0" w14:textId="77777777" w:rsidR="00EA7EAB" w:rsidRDefault="002E4A9F">
      <w:pPr>
        <w:rPr>
          <w:b/>
          <w:bCs/>
          <w:i/>
          <w:iCs/>
          <w:color w:val="EE0000"/>
          <w:sz w:val="20"/>
          <w:szCs w:val="20"/>
        </w:rPr>
      </w:pPr>
      <w:r>
        <w:rPr>
          <w:b/>
          <w:bCs/>
          <w:i/>
          <w:iCs/>
          <w:color w:val="EE0000"/>
          <w:sz w:val="20"/>
          <w:szCs w:val="20"/>
        </w:rPr>
        <w:t>(in collaborazione con Simest)</w:t>
      </w:r>
    </w:p>
    <w:p w14:paraId="000000B1" w14:textId="77777777" w:rsidR="00EA7EAB" w:rsidRDefault="002E4A9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Docente: Federica Ingrosso (Simest)</w:t>
      </w:r>
    </w:p>
    <w:p w14:paraId="000000B2" w14:textId="77777777" w:rsidR="00EA7EAB" w:rsidRDefault="00EA7EAB">
      <w:pPr>
        <w:rPr>
          <w:sz w:val="20"/>
          <w:szCs w:val="20"/>
          <w:u w:val="single"/>
        </w:rPr>
      </w:pPr>
    </w:p>
    <w:p w14:paraId="000000B3" w14:textId="77777777" w:rsidR="00EA7EAB" w:rsidRDefault="00EA7EAB">
      <w:pPr>
        <w:rPr>
          <w:b/>
          <w:bCs/>
          <w:i/>
          <w:iCs/>
          <w:color w:val="EE0000"/>
          <w:sz w:val="20"/>
          <w:szCs w:val="20"/>
        </w:rPr>
      </w:pPr>
    </w:p>
    <w:p w14:paraId="000000B4" w14:textId="77777777" w:rsidR="00EA7EAB" w:rsidRDefault="00EA7EAB">
      <w:pPr>
        <w:rPr>
          <w:b/>
          <w:bCs/>
          <w:i/>
          <w:iCs/>
          <w:color w:val="EE0000"/>
          <w:sz w:val="20"/>
          <w:szCs w:val="20"/>
        </w:rPr>
      </w:pPr>
    </w:p>
    <w:p w14:paraId="000000B5" w14:textId="77777777" w:rsidR="00EA7EAB" w:rsidRDefault="002E4A9F">
      <w:pPr>
        <w:rPr>
          <w:b/>
          <w:bCs/>
          <w:sz w:val="21"/>
          <w:szCs w:val="21"/>
        </w:rPr>
      </w:pPr>
      <w:sdt>
        <w:sdtPr>
          <w:tag w:val="goog_rdk_21"/>
          <w:id w:val="1106678633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854F0B"/>
            </w:rPr>
            <w:t>→ FIND YOUR TENDER: LA PIATTAFORMA CHE SEMPLIFICA L’ACCESSO ALLE OPPORTUNITÀ DELLE GARE D’APPALTO</w:t>
          </w:r>
        </w:sdtContent>
      </w:sdt>
    </w:p>
    <w:p w14:paraId="000000B6" w14:textId="77777777" w:rsidR="00EA7EAB" w:rsidRDefault="002E4A9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14 </w:t>
      </w:r>
      <w:proofErr w:type="gramStart"/>
      <w:r>
        <w:rPr>
          <w:b/>
          <w:bCs/>
          <w:sz w:val="18"/>
          <w:szCs w:val="18"/>
        </w:rPr>
        <w:t>Luglio</w:t>
      </w:r>
      <w:proofErr w:type="gramEnd"/>
      <w:r>
        <w:rPr>
          <w:b/>
          <w:bCs/>
          <w:sz w:val="18"/>
          <w:szCs w:val="18"/>
        </w:rPr>
        <w:t xml:space="preserve"> 2026 (15.00 - 16.30)</w:t>
      </w:r>
    </w:p>
    <w:p w14:paraId="000000B7" w14:textId="77777777" w:rsidR="00EA7EAB" w:rsidRDefault="002E4A9F">
      <w:pPr>
        <w:rPr>
          <w:b/>
          <w:bCs/>
          <w:i/>
          <w:iCs/>
          <w:color w:val="EE0000"/>
          <w:sz w:val="20"/>
          <w:szCs w:val="20"/>
        </w:rPr>
      </w:pPr>
      <w:r>
        <w:rPr>
          <w:sz w:val="20"/>
          <w:szCs w:val="20"/>
        </w:rPr>
        <w:t>Contenuti: Presentazione della nuova piattaforma Find Your Tender, delle sue funzionalità e dei vantaggi per le imprese ad accedere al mercato delle gare d’appalto europee</w:t>
      </w:r>
    </w:p>
    <w:p w14:paraId="000000B8" w14:textId="77777777" w:rsidR="00EA7EAB" w:rsidRDefault="002E4A9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Docenti: Valeria Centinaro - Giulia Zucconi (Promos Italia)</w:t>
      </w:r>
    </w:p>
    <w:p w14:paraId="000000B9" w14:textId="77777777" w:rsidR="00EA7EAB" w:rsidRDefault="002E4A9F">
      <w:pPr>
        <w:rPr>
          <w:b/>
          <w:bCs/>
          <w:sz w:val="18"/>
          <w:szCs w:val="18"/>
        </w:rPr>
      </w:pPr>
      <w:r>
        <w:br w:type="page"/>
      </w:r>
    </w:p>
    <w:p w14:paraId="000000BA" w14:textId="77777777" w:rsidR="00EA7EAB" w:rsidRDefault="002E4A9F">
      <w:pPr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Bozza di calendario della formazione per le imprese 2026</w:t>
      </w:r>
    </w:p>
    <w:p w14:paraId="000000BB" w14:textId="77777777" w:rsidR="00EA7EAB" w:rsidRDefault="002E4A9F">
      <w:pPr>
        <w:jc w:val="center"/>
      </w:pPr>
      <w:r>
        <w:t>(in corso di definizione)</w:t>
      </w:r>
    </w:p>
    <w:p w14:paraId="000000BC" w14:textId="77777777" w:rsidR="00EA7EAB" w:rsidRDefault="00EA7EAB">
      <w:pPr>
        <w:jc w:val="center"/>
        <w:rPr>
          <w:b/>
          <w:bCs/>
          <w:i/>
          <w:iCs/>
          <w:sz w:val="30"/>
          <w:szCs w:val="30"/>
        </w:rPr>
      </w:pPr>
    </w:p>
    <w:tbl>
      <w:tblPr>
        <w:tblStyle w:val="a9"/>
        <w:tblW w:w="96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2025"/>
        <w:gridCol w:w="1410"/>
        <w:gridCol w:w="3345"/>
        <w:gridCol w:w="1635"/>
      </w:tblGrid>
      <w:tr w:rsidR="00EA7EAB" w14:paraId="46502030" w14:textId="77777777">
        <w:trPr>
          <w:trHeight w:val="50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7777777" w:rsidR="00EA7EAB" w:rsidRDefault="002E4A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EA7EAB" w:rsidRDefault="002E4A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EA7EAB" w:rsidRDefault="002E4A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Orario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EA7EAB" w:rsidRDefault="002E4A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appuntamento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A7EAB" w:rsidRDefault="002E4A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Percorso</w:t>
            </w:r>
          </w:p>
        </w:tc>
      </w:tr>
      <w:tr w:rsidR="00EA7EAB" w14:paraId="0AEFB34C" w14:textId="77777777">
        <w:trPr>
          <w:trHeight w:val="66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Giugno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giugno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10.00–11.30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Webinar orientamento agli strumenti finanziari per l’export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Financial </w:t>
            </w:r>
            <w:proofErr w:type="spellStart"/>
            <w:r>
              <w:rPr>
                <w:sz w:val="18"/>
                <w:szCs w:val="18"/>
              </w:rPr>
              <w:t>Advisory</w:t>
            </w:r>
            <w:proofErr w:type="spellEnd"/>
          </w:p>
        </w:tc>
      </w:tr>
      <w:tr w:rsidR="00EA7EAB" w14:paraId="28BE26A1" w14:textId="77777777">
        <w:trPr>
          <w:trHeight w:val="6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Giugno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giugno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9.30–12.30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Orientarsi e prepararsi ai mercati esteri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Export Starter</w:t>
            </w:r>
          </w:p>
        </w:tc>
      </w:tr>
      <w:tr w:rsidR="00EA7EAB" w14:paraId="21DCB4EC" w14:textId="77777777">
        <w:trPr>
          <w:trHeight w:val="9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Giugno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giugno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10.00–11.30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novità di SIMEST: finanziamenti agevolati per l’export delle PMI italiane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Financial </w:t>
            </w:r>
            <w:proofErr w:type="spellStart"/>
            <w:r>
              <w:rPr>
                <w:sz w:val="18"/>
                <w:szCs w:val="18"/>
              </w:rPr>
              <w:t>Advisory</w:t>
            </w:r>
            <w:proofErr w:type="spellEnd"/>
          </w:p>
        </w:tc>
      </w:tr>
      <w:tr w:rsidR="00EA7EAB" w14:paraId="2B1591AF" w14:textId="77777777">
        <w:trPr>
          <w:trHeight w:val="77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Luglio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2 luglio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14.30–16.30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Selezione e prioritizzazione dei mercati internazionali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Market Builder &amp; Global Strategy</w:t>
            </w:r>
          </w:p>
        </w:tc>
      </w:tr>
      <w:tr w:rsidR="00EA7EAB" w14:paraId="7582B924" w14:textId="77777777">
        <w:trPr>
          <w:trHeight w:val="77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Luglio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9 luglio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14.30–16.30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Posizionamento competitivo e strategie di marketing e pricing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Market Builder &amp; Global Strategy</w:t>
            </w:r>
          </w:p>
        </w:tc>
      </w:tr>
      <w:tr w:rsidR="00EA7EAB" w14:paraId="3305A0BA" w14:textId="77777777">
        <w:trPr>
          <w:trHeight w:val="75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Luglio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14 luglio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15:00 - 16.30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Find Your Tender: la nuova piattaforma che semplifica l’accesso alle opportunità delle gare d’appalto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Financial </w:t>
            </w:r>
            <w:proofErr w:type="spellStart"/>
            <w:r>
              <w:rPr>
                <w:sz w:val="18"/>
                <w:szCs w:val="18"/>
                <w:highlight w:val="white"/>
              </w:rPr>
              <w:t>Advisory</w:t>
            </w:r>
            <w:proofErr w:type="spellEnd"/>
          </w:p>
        </w:tc>
      </w:tr>
      <w:tr w:rsidR="00EA7EAB" w14:paraId="79F3C2C7" w14:textId="77777777">
        <w:trPr>
          <w:trHeight w:val="75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Luglio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15 luglio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10.00–12.00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Marketplace internazionali per l’export: modelli e strategie di utilizzo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Market Builder &amp; Global Strategy</w:t>
            </w:r>
          </w:p>
        </w:tc>
      </w:tr>
      <w:tr w:rsidR="00EA7EAB" w14:paraId="178449E0" w14:textId="77777777">
        <w:trPr>
          <w:trHeight w:val="77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Settembre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24 settembre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10.00–12.00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Sostenibilità come leva strategica per la competitività internazionale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EA7EAB" w:rsidRDefault="002E4A9F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Market Builder &amp; Global Strategy</w:t>
            </w:r>
          </w:p>
        </w:tc>
      </w:tr>
      <w:tr w:rsidR="00EA7EAB" w14:paraId="4912DA56" w14:textId="77777777">
        <w:trPr>
          <w:trHeight w:val="82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Settembre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16 settembre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14.30–17.00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MERCOSUR: accesso al mercato e sviluppo commerciale in Brasile e Argentina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Percorsi Aree Geografiche</w:t>
            </w:r>
          </w:p>
        </w:tc>
      </w:tr>
      <w:tr w:rsidR="00EA7EAB" w14:paraId="734EE56A" w14:textId="77777777">
        <w:trPr>
          <w:trHeight w:val="73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0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01 ottobre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1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9.30–12.30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2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 – Accesso al mercato e sviluppo commerciale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</w:t>
            </w:r>
          </w:p>
        </w:tc>
      </w:tr>
      <w:tr w:rsidR="00EA7EAB" w14:paraId="34C3FAFC" w14:textId="77777777">
        <w:trPr>
          <w:trHeight w:val="64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4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5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ottobre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10.00–12.00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FOCUS ASIA E SUPPLY CHAIN: Modulo 1 </w:t>
            </w:r>
            <w:proofErr w:type="gramStart"/>
            <w:r>
              <w:rPr>
                <w:sz w:val="18"/>
                <w:szCs w:val="18"/>
              </w:rPr>
              <w:t>-  Cina</w:t>
            </w:r>
            <w:proofErr w:type="gramEnd"/>
            <w:r>
              <w:rPr>
                <w:sz w:val="18"/>
                <w:szCs w:val="18"/>
              </w:rPr>
              <w:t xml:space="preserve"> e Sud Est Asiatico a confronto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</w:t>
            </w:r>
          </w:p>
        </w:tc>
      </w:tr>
      <w:tr w:rsidR="00EA7EAB" w14:paraId="5D80698A" w14:textId="77777777">
        <w:trPr>
          <w:trHeight w:val="67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ottobre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14.30–16.30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ASIA E SUPPLY CHAIN: Modulo 2 - Rotte interrotte e Supply Chain resilienti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</w:t>
            </w:r>
          </w:p>
        </w:tc>
      </w:tr>
      <w:tr w:rsidR="00EA7EAB" w14:paraId="225DC4BA" w14:textId="77777777">
        <w:trPr>
          <w:trHeight w:val="77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Novembre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 novembre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14.30–16.30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77777777" w:rsidR="00EA7EAB" w:rsidRDefault="002E4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FOCUS ASIA E SUPPLY CHAIN: Modulo 3 </w:t>
            </w:r>
            <w:proofErr w:type="gramStart"/>
            <w:r>
              <w:rPr>
                <w:sz w:val="18"/>
                <w:szCs w:val="18"/>
              </w:rPr>
              <w:t>-  La</w:t>
            </w:r>
            <w:proofErr w:type="gramEnd"/>
            <w:r>
              <w:rPr>
                <w:sz w:val="18"/>
                <w:szCs w:val="18"/>
              </w:rPr>
              <w:t xml:space="preserve"> mappa geopolitica del business e Go-To-Market in Asia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</w:t>
            </w:r>
          </w:p>
        </w:tc>
      </w:tr>
      <w:tr w:rsidR="00EA7EAB" w14:paraId="0250D523" w14:textId="77777777">
        <w:trPr>
          <w:trHeight w:val="72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Novembre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 novembre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10.00–12.00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 - AREA MENA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</w:t>
            </w:r>
          </w:p>
        </w:tc>
      </w:tr>
      <w:tr w:rsidR="00EA7EAB" w14:paraId="720D50B7" w14:textId="77777777">
        <w:trPr>
          <w:trHeight w:val="72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Novembre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novembre 2026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10.00–12.00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 - AREA MENA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EA7EAB" w:rsidRDefault="002E4A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Percorsi Aree Geografiche</w:t>
            </w:r>
          </w:p>
        </w:tc>
      </w:tr>
    </w:tbl>
    <w:p w14:paraId="0000010D" w14:textId="77777777" w:rsidR="00EA7EAB" w:rsidRDefault="00EA7EAB">
      <w:pPr>
        <w:jc w:val="center"/>
        <w:rPr>
          <w:b/>
          <w:bCs/>
          <w:i/>
          <w:iCs/>
          <w:sz w:val="30"/>
          <w:szCs w:val="30"/>
        </w:rPr>
      </w:pPr>
    </w:p>
    <w:sectPr w:rsidR="00EA7EAB">
      <w:headerReference w:type="default" r:id="rId8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D0DF3" w14:textId="77777777" w:rsidR="002E4A9F" w:rsidRDefault="002E4A9F">
      <w:r>
        <w:separator/>
      </w:r>
    </w:p>
  </w:endnote>
  <w:endnote w:type="continuationSeparator" w:id="0">
    <w:p w14:paraId="36863669" w14:textId="77777777" w:rsidR="002E4A9F" w:rsidRDefault="002E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5C0433B-4596-45DE-9A8F-87978159316D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0BCB67B-E6E5-4A3D-A782-28A1F13971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CABAF1E-422F-404C-98DF-A5F1ACF5FC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D4C1" w14:textId="77777777" w:rsidR="002E4A9F" w:rsidRDefault="002E4A9F">
      <w:r>
        <w:separator/>
      </w:r>
    </w:p>
  </w:footnote>
  <w:footnote w:type="continuationSeparator" w:id="0">
    <w:p w14:paraId="722501A3" w14:textId="77777777" w:rsidR="002E4A9F" w:rsidRDefault="002E4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0E" w14:textId="77777777" w:rsidR="00EA7EAB" w:rsidRDefault="002E4A9F">
    <w:r>
      <w:rPr>
        <w:noProof/>
      </w:rPr>
      <w:drawing>
        <wp:inline distT="114300" distB="114300" distL="114300" distR="114300">
          <wp:extent cx="1418272" cy="39482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8272" cy="39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>
          <wp:extent cx="1656397" cy="389253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397" cy="3892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</w:t>
    </w:r>
    <w:r>
      <w:rPr>
        <w:i/>
        <w:iCs/>
      </w:rPr>
      <w:t xml:space="preserve"> </w:t>
    </w:r>
    <w:r>
      <w:rPr>
        <w:i/>
        <w:iCs/>
        <w:sz w:val="18"/>
        <w:szCs w:val="18"/>
      </w:rPr>
      <w:t xml:space="preserve">con il supporto di </w:t>
    </w:r>
    <w:r>
      <w:rPr>
        <w:noProof/>
      </w:rPr>
      <w:drawing>
        <wp:inline distT="114300" distB="114300" distL="114300" distR="114300">
          <wp:extent cx="1073401" cy="479108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3401" cy="4791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0F" w14:textId="77777777" w:rsidR="00EA7EAB" w:rsidRDefault="00EA7E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D0D75"/>
    <w:multiLevelType w:val="multilevel"/>
    <w:tmpl w:val="0B9818A4"/>
    <w:lvl w:ilvl="0">
      <w:start w:val="1"/>
      <w:numFmt w:val="bullet"/>
      <w:lvlText w:val="–"/>
      <w:lvlJc w:val="left"/>
      <w:pPr>
        <w:ind w:left="480" w:hanging="240"/>
      </w:pPr>
      <w:rPr>
        <w:rFonts w:ascii="Arial" w:eastAsia="Arial" w:hAnsi="Arial" w:cs="Arial"/>
        <w:color w:val="0F6E56"/>
        <w:sz w:val="20"/>
        <w:szCs w:val="2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2F73530"/>
    <w:multiLevelType w:val="multilevel"/>
    <w:tmpl w:val="5ACA7F04"/>
    <w:lvl w:ilvl="0">
      <w:start w:val="1"/>
      <w:numFmt w:val="bullet"/>
      <w:lvlText w:val="–"/>
      <w:lvlJc w:val="left"/>
      <w:pPr>
        <w:ind w:left="360" w:hanging="220"/>
      </w:pPr>
      <w:rPr>
        <w:rFonts w:ascii="Arial" w:eastAsia="Arial" w:hAnsi="Arial" w:cs="Arial"/>
        <w:color w:val="666666"/>
        <w:sz w:val="18"/>
        <w:szCs w:val="1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8726CF8"/>
    <w:multiLevelType w:val="multilevel"/>
    <w:tmpl w:val="5B8A1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54192795">
    <w:abstractNumId w:val="2"/>
  </w:num>
  <w:num w:numId="2" w16cid:durableId="1295330161">
    <w:abstractNumId w:val="0"/>
  </w:num>
  <w:num w:numId="3" w16cid:durableId="96477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AB"/>
    <w:rsid w:val="000B4026"/>
    <w:rsid w:val="002E4A9F"/>
    <w:rsid w:val="0034293B"/>
    <w:rsid w:val="00EA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B84E7-A359-4AB7-8F5E-06C78DAD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320" w:after="160"/>
      <w:outlineLvl w:val="0"/>
    </w:pPr>
    <w:rPr>
      <w:b/>
      <w:bCs/>
      <w:color w:val="08504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0C447C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80" w:after="80"/>
      <w:outlineLvl w:val="2"/>
    </w:pPr>
    <w:rPr>
      <w:b/>
      <w:bCs/>
      <w:color w:val="333333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EEhyA8lyx7tGkXcqR9FXCKIsg==">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1936</Words>
  <Characters>11038</Characters>
  <Application>Microsoft Office Word</Application>
  <DocSecurity>0</DocSecurity>
  <Lines>91</Lines>
  <Paragraphs>25</Paragraphs>
  <ScaleCrop>false</ScaleCrop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Magni</cp:lastModifiedBy>
  <cp:revision>2</cp:revision>
  <dcterms:created xsi:type="dcterms:W3CDTF">2026-06-15T08:25:00Z</dcterms:created>
  <dcterms:modified xsi:type="dcterms:W3CDTF">2026-06-15T08:25:00Z</dcterms:modified>
</cp:coreProperties>
</file>